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6" w:rsidRDefault="00FF3716" w:rsidP="00FF3716">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3/31/07</w:t>
      </w:r>
    </w:p>
    <w:p w:rsidR="00FF3716" w:rsidRDefault="00FF3716" w:rsidP="00FF371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proofErr w:type="spellStart"/>
      <w:r>
        <w:rPr>
          <w:rFonts w:ascii="Times New Roman" w:hAnsi="Times New Roman"/>
          <w:bCs/>
          <w:sz w:val="24"/>
        </w:rPr>
        <w:t>NeuStar</w:t>
      </w:r>
      <w:proofErr w:type="spellEnd"/>
    </w:p>
    <w:p w:rsidR="00FF3716" w:rsidRDefault="00FF3716" w:rsidP="00FF3716">
      <w:pPr>
        <w:pStyle w:val="Heading3"/>
      </w:pPr>
      <w:bookmarkStart w:id="0" w:name="_Toc220154374"/>
      <w:bookmarkStart w:id="1" w:name="_Toc263179668"/>
      <w:r>
        <w:t xml:space="preserve">Change Order Number:  </w:t>
      </w:r>
      <w:r>
        <w:rPr>
          <w:b w:val="0"/>
          <w:bCs/>
        </w:rPr>
        <w:t>NANC 420</w:t>
      </w:r>
      <w:bookmarkEnd w:id="0"/>
      <w:bookmarkEnd w:id="1"/>
    </w:p>
    <w:p w:rsidR="00FF3716" w:rsidRDefault="00FF3716" w:rsidP="00FF371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Pr="00AC3956">
        <w:rPr>
          <w:rFonts w:ascii="Times New Roman" w:hAnsi="Times New Roman"/>
          <w:bCs/>
          <w:sz w:val="24"/>
          <w:szCs w:val="24"/>
        </w:rPr>
        <w:t>Doc-Only Change Order: FRS Updates</w:t>
      </w:r>
    </w:p>
    <w:p w:rsidR="00FF3716" w:rsidRDefault="00FF3716" w:rsidP="00FF3716">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not rated, included</w:t>
      </w:r>
    </w:p>
    <w:p w:rsidR="00FF3716" w:rsidRDefault="00FF3716" w:rsidP="00FF3716">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FF3716" w:rsidRDefault="00FF3716" w:rsidP="00FF3716"/>
    <w:p w:rsidR="00FF3716" w:rsidRDefault="00FF3716" w:rsidP="00FF3716">
      <w:pPr>
        <w:jc w:val="center"/>
        <w:rPr>
          <w:b/>
          <w:sz w:val="20"/>
        </w:rPr>
      </w:pPr>
      <w:r>
        <w:rPr>
          <w:b/>
          <w:sz w:val="20"/>
        </w:rPr>
        <w:t>IMPACT/CHANGE ASSESSMENT</w:t>
      </w:r>
    </w:p>
    <w:p w:rsidR="00FF3716" w:rsidRDefault="00FF3716" w:rsidP="00FF371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F3716" w:rsidTr="0013579E">
        <w:trPr>
          <w:jc w:val="center"/>
        </w:trPr>
        <w:tc>
          <w:tcPr>
            <w:tcW w:w="641" w:type="dxa"/>
          </w:tcPr>
          <w:p w:rsidR="00FF3716" w:rsidRDefault="00FF3716" w:rsidP="0013579E">
            <w:pPr>
              <w:pStyle w:val="Heading8"/>
              <w:rPr>
                <w:sz w:val="20"/>
              </w:rPr>
            </w:pPr>
            <w:r>
              <w:rPr>
                <w:sz w:val="20"/>
              </w:rPr>
              <w:t>FRS</w:t>
            </w:r>
          </w:p>
        </w:tc>
        <w:tc>
          <w:tcPr>
            <w:tcW w:w="540" w:type="dxa"/>
          </w:tcPr>
          <w:p w:rsidR="00FF3716" w:rsidRDefault="00FF3716" w:rsidP="0013579E">
            <w:pPr>
              <w:pStyle w:val="Heading8"/>
              <w:rPr>
                <w:sz w:val="20"/>
              </w:rPr>
            </w:pPr>
            <w:r>
              <w:rPr>
                <w:sz w:val="20"/>
              </w:rPr>
              <w:t>IIS</w:t>
            </w:r>
          </w:p>
        </w:tc>
        <w:tc>
          <w:tcPr>
            <w:tcW w:w="922" w:type="dxa"/>
          </w:tcPr>
          <w:p w:rsidR="00FF3716" w:rsidRDefault="00FF3716" w:rsidP="0013579E">
            <w:pPr>
              <w:pStyle w:val="Heading8"/>
              <w:rPr>
                <w:sz w:val="20"/>
              </w:rPr>
            </w:pPr>
            <w:r>
              <w:rPr>
                <w:sz w:val="20"/>
              </w:rPr>
              <w:t>GDMO</w:t>
            </w:r>
          </w:p>
        </w:tc>
        <w:tc>
          <w:tcPr>
            <w:tcW w:w="878" w:type="dxa"/>
          </w:tcPr>
          <w:p w:rsidR="00FF3716" w:rsidRDefault="00FF3716" w:rsidP="0013579E">
            <w:pPr>
              <w:pStyle w:val="Heading8"/>
              <w:rPr>
                <w:sz w:val="20"/>
              </w:rPr>
            </w:pPr>
            <w:r>
              <w:rPr>
                <w:sz w:val="20"/>
              </w:rPr>
              <w:t>ASN.1</w:t>
            </w:r>
          </w:p>
        </w:tc>
        <w:tc>
          <w:tcPr>
            <w:tcW w:w="1728" w:type="dxa"/>
          </w:tcPr>
          <w:p w:rsidR="00FF3716" w:rsidRDefault="00FF3716" w:rsidP="0013579E">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F3716" w:rsidRDefault="00FF3716" w:rsidP="0013579E">
            <w:pPr>
              <w:pStyle w:val="Heading8"/>
              <w:rPr>
                <w:sz w:val="20"/>
              </w:rPr>
            </w:pPr>
            <w:r>
              <w:rPr>
                <w:sz w:val="20"/>
              </w:rPr>
              <w:t>SOA</w:t>
            </w:r>
          </w:p>
        </w:tc>
        <w:tc>
          <w:tcPr>
            <w:tcW w:w="1728" w:type="dxa"/>
          </w:tcPr>
          <w:p w:rsidR="00FF3716" w:rsidRDefault="00FF3716" w:rsidP="0013579E">
            <w:pPr>
              <w:pStyle w:val="Heading8"/>
              <w:rPr>
                <w:sz w:val="20"/>
              </w:rPr>
            </w:pPr>
            <w:r>
              <w:rPr>
                <w:sz w:val="20"/>
              </w:rPr>
              <w:t>LSMS</w:t>
            </w:r>
          </w:p>
        </w:tc>
      </w:tr>
      <w:tr w:rsidR="00FF3716" w:rsidTr="0013579E">
        <w:trPr>
          <w:jc w:val="center"/>
        </w:trPr>
        <w:tc>
          <w:tcPr>
            <w:tcW w:w="641" w:type="dxa"/>
          </w:tcPr>
          <w:p w:rsidR="00FF3716" w:rsidRDefault="00FF3716" w:rsidP="0013579E">
            <w:pPr>
              <w:jc w:val="center"/>
              <w:rPr>
                <w:sz w:val="20"/>
              </w:rPr>
            </w:pPr>
            <w:r>
              <w:rPr>
                <w:sz w:val="20"/>
              </w:rPr>
              <w:t>Y</w:t>
            </w:r>
          </w:p>
        </w:tc>
        <w:tc>
          <w:tcPr>
            <w:tcW w:w="540" w:type="dxa"/>
          </w:tcPr>
          <w:p w:rsidR="00FF3716" w:rsidRDefault="00FF3716" w:rsidP="0013579E">
            <w:pPr>
              <w:jc w:val="center"/>
              <w:rPr>
                <w:sz w:val="20"/>
              </w:rPr>
            </w:pPr>
            <w:r>
              <w:rPr>
                <w:sz w:val="20"/>
              </w:rPr>
              <w:t>N</w:t>
            </w:r>
          </w:p>
        </w:tc>
        <w:tc>
          <w:tcPr>
            <w:tcW w:w="922" w:type="dxa"/>
          </w:tcPr>
          <w:p w:rsidR="00FF3716" w:rsidRDefault="00FF3716" w:rsidP="0013579E">
            <w:pPr>
              <w:jc w:val="center"/>
              <w:rPr>
                <w:sz w:val="20"/>
              </w:rPr>
            </w:pPr>
            <w:r>
              <w:rPr>
                <w:sz w:val="20"/>
              </w:rPr>
              <w:t>N</w:t>
            </w:r>
          </w:p>
        </w:tc>
        <w:tc>
          <w:tcPr>
            <w:tcW w:w="878" w:type="dxa"/>
          </w:tcPr>
          <w:p w:rsidR="00FF3716" w:rsidRDefault="00FF3716" w:rsidP="0013579E">
            <w:pPr>
              <w:jc w:val="center"/>
              <w:rPr>
                <w:sz w:val="20"/>
              </w:rPr>
            </w:pPr>
            <w:r>
              <w:rPr>
                <w:sz w:val="20"/>
              </w:rPr>
              <w:t>N</w:t>
            </w:r>
          </w:p>
        </w:tc>
        <w:tc>
          <w:tcPr>
            <w:tcW w:w="1728" w:type="dxa"/>
          </w:tcPr>
          <w:p w:rsidR="00FF3716" w:rsidRDefault="00FF3716" w:rsidP="0013579E">
            <w:pPr>
              <w:jc w:val="center"/>
              <w:rPr>
                <w:sz w:val="20"/>
              </w:rPr>
            </w:pPr>
            <w:r>
              <w:rPr>
                <w:sz w:val="20"/>
              </w:rPr>
              <w:t>None</w:t>
            </w:r>
          </w:p>
        </w:tc>
        <w:tc>
          <w:tcPr>
            <w:tcW w:w="1728" w:type="dxa"/>
          </w:tcPr>
          <w:p w:rsidR="00FF3716" w:rsidRDefault="00FF3716" w:rsidP="0013579E">
            <w:pPr>
              <w:jc w:val="center"/>
              <w:rPr>
                <w:sz w:val="20"/>
              </w:rPr>
            </w:pPr>
            <w:r>
              <w:rPr>
                <w:sz w:val="20"/>
              </w:rPr>
              <w:t>None</w:t>
            </w:r>
          </w:p>
        </w:tc>
        <w:tc>
          <w:tcPr>
            <w:tcW w:w="1728" w:type="dxa"/>
          </w:tcPr>
          <w:p w:rsidR="00FF3716" w:rsidRDefault="00FF3716" w:rsidP="0013579E">
            <w:pPr>
              <w:jc w:val="center"/>
              <w:rPr>
                <w:sz w:val="20"/>
              </w:rPr>
            </w:pPr>
            <w:r>
              <w:rPr>
                <w:sz w:val="20"/>
              </w:rPr>
              <w:t>None</w:t>
            </w:r>
          </w:p>
        </w:tc>
      </w:tr>
    </w:tbl>
    <w:p w:rsidR="00FF3716" w:rsidRDefault="00FF3716" w:rsidP="00FF3716"/>
    <w:p w:rsidR="00FF3716" w:rsidRDefault="00FF3716" w:rsidP="00FF3716"/>
    <w:p w:rsidR="00FF3716" w:rsidRDefault="00FF3716" w:rsidP="00FF3716">
      <w:pPr>
        <w:rPr>
          <w:b/>
        </w:rPr>
      </w:pPr>
      <w:r>
        <w:rPr>
          <w:b/>
        </w:rPr>
        <w:t>Business Need:</w:t>
      </w:r>
    </w:p>
    <w:p w:rsidR="00FF3716" w:rsidRPr="00AC3956" w:rsidRDefault="00FF3716" w:rsidP="00FF3716">
      <w:pPr>
        <w:pStyle w:val="TableText"/>
        <w:spacing w:before="0"/>
        <w:rPr>
          <w:snapToGrid w:val="0"/>
          <w:szCs w:val="24"/>
        </w:rPr>
      </w:pPr>
      <w:r w:rsidRPr="00AC3956">
        <w:rPr>
          <w:snapToGrid w:val="0"/>
          <w:szCs w:val="24"/>
        </w:rPr>
        <w:t>Update the current documentation to be consistent and reflect the current behavior.</w:t>
      </w:r>
    </w:p>
    <w:p w:rsidR="00FF3716" w:rsidRDefault="00FF3716" w:rsidP="00FF3716">
      <w:pPr>
        <w:pStyle w:val="TableText"/>
        <w:spacing w:before="0" w:line="240" w:lineRule="atLeast"/>
      </w:pPr>
    </w:p>
    <w:p w:rsidR="00FF3716" w:rsidRDefault="00FF3716" w:rsidP="00FF3716">
      <w:pPr>
        <w:spacing w:line="240" w:lineRule="atLeast"/>
        <w:rPr>
          <w:b/>
          <w:bCs/>
        </w:rPr>
      </w:pPr>
      <w:r>
        <w:rPr>
          <w:b/>
          <w:bCs/>
        </w:rPr>
        <w:t>Description of Change:</w:t>
      </w:r>
    </w:p>
    <w:p w:rsidR="00FF3716" w:rsidRPr="00F97D91" w:rsidRDefault="00FF3716" w:rsidP="00FF3716">
      <w:pPr>
        <w:pStyle w:val="TableText"/>
        <w:spacing w:before="0"/>
        <w:rPr>
          <w:bCs/>
        </w:rPr>
      </w:pPr>
      <w:r w:rsidRPr="00F97D91">
        <w:rPr>
          <w:bCs/>
        </w:rPr>
        <w:t>Update</w:t>
      </w:r>
      <w:r>
        <w:rPr>
          <w:bCs/>
        </w:rPr>
        <w:t xml:space="preserve"> the</w:t>
      </w:r>
      <w:r w:rsidRPr="00F97D91">
        <w:rPr>
          <w:bCs/>
        </w:rPr>
        <w:t xml:space="preserve"> </w:t>
      </w:r>
      <w:r>
        <w:rPr>
          <w:bCs/>
        </w:rPr>
        <w:t>FRS</w:t>
      </w:r>
      <w:r w:rsidRPr="00F97D91">
        <w:rPr>
          <w:bCs/>
        </w:rPr>
        <w:t>.</w:t>
      </w:r>
    </w:p>
    <w:p w:rsidR="00FF3716" w:rsidRPr="00AC3956" w:rsidRDefault="00FF3716" w:rsidP="00FF3716">
      <w:pPr>
        <w:pStyle w:val="TableText"/>
        <w:spacing w:before="0"/>
        <w:rPr>
          <w:szCs w:val="24"/>
        </w:rPr>
      </w:pPr>
    </w:p>
    <w:p w:rsidR="00FF3716" w:rsidRDefault="00FF3716" w:rsidP="00FF3716">
      <w:pPr>
        <w:rPr>
          <w:b/>
        </w:rPr>
      </w:pPr>
      <w:r>
        <w:rPr>
          <w:b/>
        </w:rPr>
        <w:t>Requirements:</w:t>
      </w:r>
    </w:p>
    <w:p w:rsidR="00FF3716" w:rsidRPr="00E96FC5" w:rsidRDefault="00FF3716" w:rsidP="00FF3716">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FF3716" w:rsidRDefault="00FF3716" w:rsidP="00FF3716">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w:t>
      </w:r>
      <w:proofErr w:type="spellStart"/>
      <w:r w:rsidRPr="00A315F2">
        <w:rPr>
          <w:bCs/>
        </w:rPr>
        <w:t>mtg</w:t>
      </w:r>
      <w:proofErr w:type="spellEnd"/>
      <w:r w:rsidRPr="00A315F2">
        <w:rPr>
          <w:bCs/>
        </w:rPr>
        <w:t xml:space="preserve">,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FF3716" w:rsidRPr="00A315F2" w:rsidRDefault="00FF3716" w:rsidP="00FF3716">
      <w:pPr>
        <w:pStyle w:val="TableText"/>
        <w:spacing w:before="0"/>
        <w:rPr>
          <w:bCs/>
        </w:rPr>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Apr</w:t>
      </w:r>
      <w:r w:rsidRPr="000618FF">
        <w:rPr>
          <w:b/>
          <w:bCs/>
          <w:u w:val="single"/>
        </w:rPr>
        <w:t>’0</w:t>
      </w:r>
      <w:r>
        <w:rPr>
          <w:b/>
          <w:bCs/>
          <w:u w:val="single"/>
        </w:rPr>
        <w:t>8</w:t>
      </w:r>
    </w:p>
    <w:p w:rsidR="00FF3716" w:rsidRDefault="00FF3716" w:rsidP="00FF3716">
      <w:pPr>
        <w:pStyle w:val="TableText"/>
        <w:spacing w:before="0" w:after="0"/>
        <w:rPr>
          <w:bCs/>
        </w:rPr>
      </w:pPr>
      <w:r>
        <w:rPr>
          <w:bCs/>
        </w:rPr>
        <w:t>3</w:t>
      </w:r>
      <w:r w:rsidRPr="00A238DC">
        <w:rPr>
          <w:bCs/>
        </w:rPr>
        <w:t xml:space="preserve">.  </w:t>
      </w:r>
      <w:r>
        <w:rPr>
          <w:bCs/>
        </w:rPr>
        <w:t>Text correction for the following requirement:</w:t>
      </w:r>
    </w:p>
    <w:p w:rsidR="00FF3716" w:rsidRDefault="00FF3716" w:rsidP="00FF371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Optional input data</w:t>
      </w:r>
    </w:p>
    <w:p w:rsidR="00FF3716" w:rsidRDefault="00FF3716" w:rsidP="00FF371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FF3716" w:rsidRDefault="00FF3716" w:rsidP="00FF3716">
      <w:pPr>
        <w:pStyle w:val="TableText"/>
        <w:spacing w:before="0" w:after="0"/>
        <w:rPr>
          <w:bCs/>
        </w:rPr>
      </w:pPr>
    </w:p>
    <w:p w:rsidR="00FF3716" w:rsidRDefault="00FF3716" w:rsidP="00FF3716">
      <w:pPr>
        <w:pStyle w:val="TableText"/>
        <w:spacing w:before="0" w:after="0"/>
        <w:rPr>
          <w:bCs/>
        </w:rPr>
      </w:pPr>
      <w:r>
        <w:rPr>
          <w:bCs/>
        </w:rPr>
        <w:t>New text should read:</w:t>
      </w:r>
    </w:p>
    <w:p w:rsidR="00FF3716" w:rsidRDefault="00FF3716" w:rsidP="00FF3716">
      <w:pPr>
        <w:pStyle w:val="TableText"/>
        <w:spacing w:before="0" w:after="0"/>
        <w:rPr>
          <w:bCs/>
        </w:rPr>
      </w:pPr>
      <w:r>
        <w:rPr>
          <w:bCs/>
        </w:rPr>
        <w:t>RR5-</w:t>
      </w:r>
      <w:proofErr w:type="gramStart"/>
      <w:r>
        <w:rPr>
          <w:bCs/>
        </w:rPr>
        <w:t>179  Create</w:t>
      </w:r>
      <w:proofErr w:type="gramEnd"/>
      <w:r>
        <w:rPr>
          <w:bCs/>
        </w:rPr>
        <w:t xml:space="preserv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FF3716" w:rsidRDefault="00FF3716" w:rsidP="00FF371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FF3716" w:rsidRDefault="00FF3716" w:rsidP="00FF3716"/>
    <w:p w:rsidR="00FF3716" w:rsidRPr="00CB2FCC" w:rsidRDefault="00FF3716" w:rsidP="00FF3716">
      <w:pPr>
        <w:pStyle w:val="listbullet10"/>
        <w:numPr>
          <w:ilvl w:val="0"/>
          <w:numId w:val="2"/>
        </w:numPr>
        <w:rPr>
          <w:color w:val="0000FF"/>
          <w:u w:val="single"/>
        </w:rPr>
      </w:pPr>
      <w:r w:rsidRPr="00CB2FCC">
        <w:rPr>
          <w:color w:val="0000FF"/>
          <w:u w:val="single"/>
        </w:rPr>
        <w:t>LRN</w:t>
      </w:r>
    </w:p>
    <w:p w:rsidR="00FF3716" w:rsidRPr="00CB2FCC" w:rsidRDefault="00FF3716" w:rsidP="00FF3716">
      <w:pPr>
        <w:pStyle w:val="listbullet10"/>
        <w:numPr>
          <w:ilvl w:val="0"/>
          <w:numId w:val="2"/>
        </w:numPr>
        <w:rPr>
          <w:color w:val="0000FF"/>
          <w:u w:val="single"/>
        </w:rPr>
      </w:pPr>
      <w:r w:rsidRPr="00CB2FCC">
        <w:rPr>
          <w:color w:val="0000FF"/>
          <w:u w:val="single"/>
        </w:rPr>
        <w:t>Class DPC</w:t>
      </w:r>
    </w:p>
    <w:p w:rsidR="00FF3716" w:rsidRPr="00CB2FCC" w:rsidRDefault="00FF3716" w:rsidP="00FF3716">
      <w:pPr>
        <w:pStyle w:val="listbullet10"/>
        <w:numPr>
          <w:ilvl w:val="0"/>
          <w:numId w:val="2"/>
        </w:numPr>
        <w:rPr>
          <w:color w:val="0000FF"/>
          <w:u w:val="single"/>
        </w:rPr>
      </w:pPr>
      <w:r w:rsidRPr="00CB2FCC">
        <w:rPr>
          <w:color w:val="0000FF"/>
          <w:u w:val="single"/>
        </w:rPr>
        <w:t>Class SSN</w:t>
      </w:r>
    </w:p>
    <w:p w:rsidR="00FF3716" w:rsidRPr="00CB2FCC" w:rsidRDefault="00FF3716" w:rsidP="00FF3716">
      <w:pPr>
        <w:pStyle w:val="listbullet10"/>
        <w:numPr>
          <w:ilvl w:val="0"/>
          <w:numId w:val="2"/>
        </w:numPr>
        <w:rPr>
          <w:color w:val="0000FF"/>
          <w:u w:val="single"/>
        </w:rPr>
      </w:pPr>
      <w:r w:rsidRPr="00CB2FCC">
        <w:rPr>
          <w:color w:val="0000FF"/>
          <w:u w:val="single"/>
        </w:rPr>
        <w:t>LIDB DPC</w:t>
      </w:r>
    </w:p>
    <w:p w:rsidR="00FF3716" w:rsidRPr="00CB2FCC" w:rsidRDefault="00FF3716" w:rsidP="00FF3716">
      <w:pPr>
        <w:pStyle w:val="listbullet10"/>
        <w:numPr>
          <w:ilvl w:val="0"/>
          <w:numId w:val="2"/>
        </w:numPr>
        <w:rPr>
          <w:color w:val="0000FF"/>
          <w:u w:val="single"/>
        </w:rPr>
      </w:pPr>
      <w:r w:rsidRPr="00CB2FCC">
        <w:rPr>
          <w:color w:val="0000FF"/>
          <w:u w:val="single"/>
        </w:rPr>
        <w:t>LIDB SSN</w:t>
      </w:r>
    </w:p>
    <w:p w:rsidR="00FF3716" w:rsidRPr="00CB2FCC" w:rsidRDefault="00FF3716" w:rsidP="00FF3716">
      <w:pPr>
        <w:pStyle w:val="listbullet10"/>
        <w:numPr>
          <w:ilvl w:val="0"/>
          <w:numId w:val="2"/>
        </w:numPr>
        <w:rPr>
          <w:color w:val="0000FF"/>
          <w:u w:val="single"/>
        </w:rPr>
      </w:pPr>
      <w:r w:rsidRPr="00CB2FCC">
        <w:rPr>
          <w:color w:val="0000FF"/>
          <w:u w:val="single"/>
        </w:rPr>
        <w:t>CNAM DPC</w:t>
      </w:r>
    </w:p>
    <w:p w:rsidR="00FF3716" w:rsidRPr="00CB2FCC" w:rsidRDefault="00FF3716" w:rsidP="00FF3716">
      <w:pPr>
        <w:pStyle w:val="listbullet10"/>
        <w:numPr>
          <w:ilvl w:val="0"/>
          <w:numId w:val="2"/>
        </w:numPr>
        <w:rPr>
          <w:color w:val="0000FF"/>
          <w:u w:val="single"/>
        </w:rPr>
      </w:pPr>
      <w:r w:rsidRPr="00CB2FCC">
        <w:rPr>
          <w:color w:val="0000FF"/>
          <w:u w:val="single"/>
        </w:rPr>
        <w:t>CNAM SSN</w:t>
      </w:r>
    </w:p>
    <w:p w:rsidR="00FF3716" w:rsidRPr="00CB2FCC" w:rsidRDefault="00FF3716" w:rsidP="00FF3716">
      <w:pPr>
        <w:pStyle w:val="listbullet10"/>
        <w:numPr>
          <w:ilvl w:val="0"/>
          <w:numId w:val="2"/>
        </w:numPr>
        <w:rPr>
          <w:color w:val="0000FF"/>
          <w:u w:val="single"/>
        </w:rPr>
      </w:pPr>
      <w:r w:rsidRPr="00CB2FCC">
        <w:rPr>
          <w:color w:val="0000FF"/>
          <w:u w:val="single"/>
        </w:rPr>
        <w:t>ISVM DPC</w:t>
      </w:r>
    </w:p>
    <w:p w:rsidR="00FF3716" w:rsidRPr="00CB2FCC" w:rsidRDefault="00FF3716" w:rsidP="00FF3716">
      <w:pPr>
        <w:pStyle w:val="listbullet10"/>
        <w:numPr>
          <w:ilvl w:val="0"/>
          <w:numId w:val="2"/>
        </w:numPr>
        <w:rPr>
          <w:color w:val="0000FF"/>
          <w:u w:val="single"/>
        </w:rPr>
      </w:pPr>
      <w:r w:rsidRPr="00CB2FCC">
        <w:rPr>
          <w:color w:val="0000FF"/>
          <w:u w:val="single"/>
        </w:rPr>
        <w:t>ISVM SSN</w:t>
      </w:r>
    </w:p>
    <w:p w:rsidR="00FF3716" w:rsidRPr="00CB2FCC" w:rsidRDefault="00FF3716" w:rsidP="00FF3716">
      <w:pPr>
        <w:pStyle w:val="listbullet10"/>
        <w:numPr>
          <w:ilvl w:val="0"/>
          <w:numId w:val="2"/>
        </w:numPr>
        <w:rPr>
          <w:color w:val="0000FF"/>
          <w:u w:val="single"/>
        </w:rPr>
      </w:pPr>
      <w:r w:rsidRPr="00CB2FCC">
        <w:rPr>
          <w:color w:val="0000FF"/>
          <w:u w:val="single"/>
        </w:rPr>
        <w:t>WSMSC DPC (if supported by the Service Provider SOA)</w:t>
      </w:r>
    </w:p>
    <w:p w:rsidR="00FF3716" w:rsidRPr="00CB2FCC" w:rsidRDefault="00FF3716" w:rsidP="00FF3716">
      <w:pPr>
        <w:pStyle w:val="listbullet10"/>
        <w:numPr>
          <w:ilvl w:val="0"/>
          <w:numId w:val="2"/>
        </w:numPr>
        <w:rPr>
          <w:color w:val="0000FF"/>
          <w:u w:val="single"/>
        </w:rPr>
      </w:pPr>
      <w:r w:rsidRPr="00CB2FCC">
        <w:rPr>
          <w:color w:val="0000FF"/>
          <w:u w:val="single"/>
        </w:rPr>
        <w:t>WSMSC SSN (if supported by the Service Provider SOA)</w:t>
      </w:r>
    </w:p>
    <w:p w:rsidR="00FF3716" w:rsidRPr="00CB2FCC" w:rsidRDefault="00FF3716" w:rsidP="00FF3716">
      <w:pPr>
        <w:pStyle w:val="listbullet10"/>
        <w:numPr>
          <w:ilvl w:val="0"/>
          <w:numId w:val="2"/>
        </w:numPr>
        <w:rPr>
          <w:color w:val="0000FF"/>
          <w:u w:val="single"/>
        </w:rPr>
      </w:pPr>
      <w:r w:rsidRPr="00CB2FCC">
        <w:rPr>
          <w:color w:val="0000FF"/>
          <w:u w:val="single"/>
        </w:rPr>
        <w:t>Porting to Original</w:t>
      </w:r>
    </w:p>
    <w:p w:rsidR="00FF3716" w:rsidRDefault="00FF3716" w:rsidP="00FF3716">
      <w:pPr>
        <w:pStyle w:val="listbullet10"/>
        <w:numPr>
          <w:ilvl w:val="0"/>
          <w:numId w:val="2"/>
        </w:numPr>
      </w:pPr>
      <w:r>
        <w:t>Billing Service Provider ID</w:t>
      </w:r>
    </w:p>
    <w:p w:rsidR="00FF3716" w:rsidRDefault="00FF3716" w:rsidP="00FF3716">
      <w:pPr>
        <w:pStyle w:val="listbullet10"/>
        <w:numPr>
          <w:ilvl w:val="0"/>
          <w:numId w:val="2"/>
        </w:numPr>
      </w:pPr>
      <w:r>
        <w:t>End-User Location - Value</w:t>
      </w:r>
    </w:p>
    <w:p w:rsidR="00FF3716" w:rsidRDefault="00FF3716" w:rsidP="00FF3716">
      <w:pPr>
        <w:pStyle w:val="listbullet10"/>
        <w:numPr>
          <w:ilvl w:val="0"/>
          <w:numId w:val="2"/>
        </w:numPr>
      </w:pPr>
      <w:r>
        <w:t>End-User Location - Type</w:t>
      </w:r>
    </w:p>
    <w:p w:rsidR="00FF3716" w:rsidRPr="00CB2FCC" w:rsidRDefault="00FF3716" w:rsidP="00FF3716">
      <w:pPr>
        <w:pStyle w:val="listbullet10"/>
        <w:numPr>
          <w:ilvl w:val="0"/>
          <w:numId w:val="2"/>
        </w:numPr>
        <w:rPr>
          <w:color w:val="0000FF"/>
          <w:u w:val="single"/>
        </w:rPr>
      </w:pPr>
      <w:r w:rsidRPr="00CB2FCC">
        <w:rPr>
          <w:color w:val="0000FF"/>
          <w:u w:val="single"/>
        </w:rPr>
        <w:t>SV Type</w:t>
      </w:r>
    </w:p>
    <w:p w:rsidR="00FF3716" w:rsidRPr="00CB2FCC" w:rsidRDefault="00FF3716" w:rsidP="00FF3716">
      <w:pPr>
        <w:pStyle w:val="listbullet10"/>
        <w:numPr>
          <w:ilvl w:val="0"/>
          <w:numId w:val="2"/>
        </w:numPr>
        <w:rPr>
          <w:color w:val="0000FF"/>
        </w:rPr>
      </w:pPr>
      <w:r w:rsidRPr="00CB2FCC">
        <w:rPr>
          <w:color w:val="0000FF"/>
          <w:u w:val="single"/>
        </w:rPr>
        <w:t>Alternative SPID</w:t>
      </w:r>
    </w:p>
    <w:p w:rsidR="00FF3716" w:rsidRDefault="00FF3716" w:rsidP="00FF3716">
      <w:pPr>
        <w:pStyle w:val="TableText"/>
        <w:spacing w:before="0"/>
      </w:pPr>
    </w:p>
    <w:p w:rsidR="00FF3716" w:rsidRDefault="00FF3716" w:rsidP="00FF3716">
      <w:pPr>
        <w:pStyle w:val="TableText"/>
        <w:spacing w:before="0" w:after="0"/>
        <w:rPr>
          <w:bCs/>
        </w:rPr>
      </w:pPr>
      <w:r>
        <w:rPr>
          <w:bCs/>
        </w:rPr>
        <w:t>4</w:t>
      </w:r>
      <w:r w:rsidRPr="00A238DC">
        <w:rPr>
          <w:bCs/>
        </w:rPr>
        <w:t xml:space="preserve">.  </w:t>
      </w:r>
      <w:r>
        <w:rPr>
          <w:bCs/>
        </w:rPr>
        <w:t>Text correction for the following requirement:</w:t>
      </w:r>
    </w:p>
    <w:p w:rsidR="00FF3716" w:rsidRDefault="00FF3716" w:rsidP="00FF371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Optional input data</w:t>
      </w:r>
    </w:p>
    <w:p w:rsidR="00FF3716" w:rsidRDefault="00FF3716" w:rsidP="00FF371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FF3716" w:rsidRDefault="00FF3716" w:rsidP="00FF3716">
      <w:pPr>
        <w:pStyle w:val="TableText"/>
        <w:spacing w:before="0" w:after="0"/>
        <w:rPr>
          <w:bCs/>
        </w:rPr>
      </w:pPr>
    </w:p>
    <w:p w:rsidR="00FF3716" w:rsidRDefault="00FF3716" w:rsidP="00FF3716">
      <w:pPr>
        <w:pStyle w:val="TableText"/>
        <w:spacing w:before="0" w:after="0"/>
        <w:rPr>
          <w:bCs/>
        </w:rPr>
      </w:pPr>
      <w:r>
        <w:rPr>
          <w:bCs/>
        </w:rPr>
        <w:t>New text should read:</w:t>
      </w:r>
    </w:p>
    <w:p w:rsidR="00FF3716" w:rsidRDefault="00FF3716" w:rsidP="00FF3716">
      <w:pPr>
        <w:pStyle w:val="TableText"/>
        <w:spacing w:before="0" w:after="0"/>
        <w:rPr>
          <w:bCs/>
        </w:rPr>
      </w:pPr>
      <w:r>
        <w:rPr>
          <w:bCs/>
        </w:rPr>
        <w:t>RR5-</w:t>
      </w:r>
      <w:proofErr w:type="gramStart"/>
      <w:r>
        <w:rPr>
          <w:bCs/>
        </w:rPr>
        <w:t>180  Create</w:t>
      </w:r>
      <w:proofErr w:type="gramEnd"/>
      <w:r>
        <w:rPr>
          <w:bCs/>
        </w:rPr>
        <w:t xml:space="preserv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FF3716" w:rsidRDefault="00FF3716" w:rsidP="00FF371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 xml:space="preserve">optional </w:t>
      </w:r>
      <w:proofErr w:type="gramStart"/>
      <w:r w:rsidRPr="00CB2FCC">
        <w:rPr>
          <w:bCs/>
          <w:strike/>
          <w:color w:val="FF0000"/>
        </w:rPr>
        <w:t>fields</w:t>
      </w:r>
      <w:proofErr w:type="gramEnd"/>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FF3716" w:rsidRDefault="00FF3716" w:rsidP="00FF3716"/>
    <w:p w:rsidR="00FF3716" w:rsidRPr="00CB2FCC" w:rsidRDefault="00FF3716" w:rsidP="00FF3716">
      <w:pPr>
        <w:pStyle w:val="listbullet10"/>
        <w:numPr>
          <w:ilvl w:val="0"/>
          <w:numId w:val="2"/>
        </w:numPr>
        <w:rPr>
          <w:color w:val="0000FF"/>
          <w:u w:val="single"/>
        </w:rPr>
      </w:pPr>
      <w:r w:rsidRPr="00CB2FCC">
        <w:rPr>
          <w:color w:val="0000FF"/>
          <w:u w:val="single"/>
        </w:rPr>
        <w:t>LRN</w:t>
      </w:r>
    </w:p>
    <w:p w:rsidR="00FF3716" w:rsidRPr="00CB2FCC" w:rsidRDefault="00FF3716" w:rsidP="00FF3716">
      <w:pPr>
        <w:pStyle w:val="listbullet10"/>
        <w:numPr>
          <w:ilvl w:val="0"/>
          <w:numId w:val="2"/>
        </w:numPr>
        <w:rPr>
          <w:color w:val="0000FF"/>
          <w:u w:val="single"/>
        </w:rPr>
      </w:pPr>
      <w:r w:rsidRPr="00CB2FCC">
        <w:rPr>
          <w:color w:val="0000FF"/>
          <w:u w:val="single"/>
        </w:rPr>
        <w:t>Class DPC</w:t>
      </w:r>
    </w:p>
    <w:p w:rsidR="00FF3716" w:rsidRPr="00CB2FCC" w:rsidRDefault="00FF3716" w:rsidP="00FF3716">
      <w:pPr>
        <w:pStyle w:val="listbullet10"/>
        <w:numPr>
          <w:ilvl w:val="0"/>
          <w:numId w:val="2"/>
        </w:numPr>
        <w:rPr>
          <w:color w:val="0000FF"/>
          <w:u w:val="single"/>
        </w:rPr>
      </w:pPr>
      <w:r w:rsidRPr="00CB2FCC">
        <w:rPr>
          <w:color w:val="0000FF"/>
          <w:u w:val="single"/>
        </w:rPr>
        <w:t>Class SSN</w:t>
      </w:r>
    </w:p>
    <w:p w:rsidR="00FF3716" w:rsidRPr="00CB2FCC" w:rsidRDefault="00FF3716" w:rsidP="00FF3716">
      <w:pPr>
        <w:pStyle w:val="listbullet10"/>
        <w:numPr>
          <w:ilvl w:val="0"/>
          <w:numId w:val="2"/>
        </w:numPr>
        <w:rPr>
          <w:color w:val="0000FF"/>
          <w:u w:val="single"/>
        </w:rPr>
      </w:pPr>
      <w:r w:rsidRPr="00CB2FCC">
        <w:rPr>
          <w:color w:val="0000FF"/>
          <w:u w:val="single"/>
        </w:rPr>
        <w:t>LIDB DPC</w:t>
      </w:r>
    </w:p>
    <w:p w:rsidR="00FF3716" w:rsidRPr="00CB2FCC" w:rsidRDefault="00FF3716" w:rsidP="00FF3716">
      <w:pPr>
        <w:pStyle w:val="listbullet10"/>
        <w:numPr>
          <w:ilvl w:val="0"/>
          <w:numId w:val="2"/>
        </w:numPr>
        <w:rPr>
          <w:color w:val="0000FF"/>
          <w:u w:val="single"/>
        </w:rPr>
      </w:pPr>
      <w:r w:rsidRPr="00CB2FCC">
        <w:rPr>
          <w:color w:val="0000FF"/>
          <w:u w:val="single"/>
        </w:rPr>
        <w:t>LIDB SSN</w:t>
      </w:r>
    </w:p>
    <w:p w:rsidR="00FF3716" w:rsidRPr="00CB2FCC" w:rsidRDefault="00FF3716" w:rsidP="00FF3716">
      <w:pPr>
        <w:pStyle w:val="listbullet10"/>
        <w:numPr>
          <w:ilvl w:val="0"/>
          <w:numId w:val="2"/>
        </w:numPr>
        <w:rPr>
          <w:color w:val="0000FF"/>
          <w:u w:val="single"/>
        </w:rPr>
      </w:pPr>
      <w:r w:rsidRPr="00CB2FCC">
        <w:rPr>
          <w:color w:val="0000FF"/>
          <w:u w:val="single"/>
        </w:rPr>
        <w:t>CNAM DPC</w:t>
      </w:r>
    </w:p>
    <w:p w:rsidR="00FF3716" w:rsidRPr="00CB2FCC" w:rsidRDefault="00FF3716" w:rsidP="00FF3716">
      <w:pPr>
        <w:pStyle w:val="listbullet10"/>
        <w:numPr>
          <w:ilvl w:val="0"/>
          <w:numId w:val="2"/>
        </w:numPr>
        <w:rPr>
          <w:color w:val="0000FF"/>
          <w:u w:val="single"/>
        </w:rPr>
      </w:pPr>
      <w:r w:rsidRPr="00CB2FCC">
        <w:rPr>
          <w:color w:val="0000FF"/>
          <w:u w:val="single"/>
        </w:rPr>
        <w:t>CNAM SSN</w:t>
      </w:r>
    </w:p>
    <w:p w:rsidR="00FF3716" w:rsidRPr="00CB2FCC" w:rsidRDefault="00FF3716" w:rsidP="00FF3716">
      <w:pPr>
        <w:pStyle w:val="listbullet10"/>
        <w:numPr>
          <w:ilvl w:val="0"/>
          <w:numId w:val="2"/>
        </w:numPr>
        <w:rPr>
          <w:color w:val="0000FF"/>
          <w:u w:val="single"/>
        </w:rPr>
      </w:pPr>
      <w:r w:rsidRPr="00CB2FCC">
        <w:rPr>
          <w:color w:val="0000FF"/>
          <w:u w:val="single"/>
        </w:rPr>
        <w:t>ISVM DPC</w:t>
      </w:r>
    </w:p>
    <w:p w:rsidR="00FF3716" w:rsidRPr="00CB2FCC" w:rsidRDefault="00FF3716" w:rsidP="00FF3716">
      <w:pPr>
        <w:pStyle w:val="listbullet10"/>
        <w:numPr>
          <w:ilvl w:val="0"/>
          <w:numId w:val="2"/>
        </w:numPr>
        <w:rPr>
          <w:color w:val="0000FF"/>
          <w:u w:val="single"/>
        </w:rPr>
      </w:pPr>
      <w:r w:rsidRPr="00CB2FCC">
        <w:rPr>
          <w:color w:val="0000FF"/>
          <w:u w:val="single"/>
        </w:rPr>
        <w:t>ISVM SSN</w:t>
      </w:r>
    </w:p>
    <w:p w:rsidR="00FF3716" w:rsidRPr="00CB2FCC" w:rsidRDefault="00FF3716" w:rsidP="00FF3716">
      <w:pPr>
        <w:pStyle w:val="listbullet10"/>
        <w:numPr>
          <w:ilvl w:val="0"/>
          <w:numId w:val="2"/>
        </w:numPr>
        <w:rPr>
          <w:color w:val="0000FF"/>
          <w:u w:val="single"/>
        </w:rPr>
      </w:pPr>
      <w:r w:rsidRPr="00CB2FCC">
        <w:rPr>
          <w:color w:val="0000FF"/>
          <w:u w:val="single"/>
        </w:rPr>
        <w:t>WSMSC DPC (if supported by the Service Provider SOA)</w:t>
      </w:r>
    </w:p>
    <w:p w:rsidR="00FF3716" w:rsidRPr="00CB2FCC" w:rsidRDefault="00FF3716" w:rsidP="00FF3716">
      <w:pPr>
        <w:pStyle w:val="listbullet10"/>
        <w:numPr>
          <w:ilvl w:val="0"/>
          <w:numId w:val="2"/>
        </w:numPr>
        <w:rPr>
          <w:color w:val="0000FF"/>
          <w:u w:val="single"/>
        </w:rPr>
      </w:pPr>
      <w:r w:rsidRPr="00CB2FCC">
        <w:rPr>
          <w:color w:val="0000FF"/>
          <w:u w:val="single"/>
        </w:rPr>
        <w:t>WSMSC SSN (if supported by the Service Provider SOA)</w:t>
      </w:r>
    </w:p>
    <w:p w:rsidR="00FF3716" w:rsidRPr="00CB2FCC" w:rsidRDefault="00FF3716" w:rsidP="00FF3716">
      <w:pPr>
        <w:pStyle w:val="listbullet10"/>
        <w:numPr>
          <w:ilvl w:val="0"/>
          <w:numId w:val="2"/>
        </w:numPr>
        <w:rPr>
          <w:color w:val="0000FF"/>
          <w:u w:val="single"/>
        </w:rPr>
      </w:pPr>
      <w:r w:rsidRPr="00CB2FCC">
        <w:rPr>
          <w:color w:val="0000FF"/>
          <w:u w:val="single"/>
        </w:rPr>
        <w:t>Porting to Original</w:t>
      </w:r>
    </w:p>
    <w:p w:rsidR="00FF3716" w:rsidRDefault="00FF3716" w:rsidP="00FF3716">
      <w:pPr>
        <w:pStyle w:val="listbullet10"/>
        <w:numPr>
          <w:ilvl w:val="0"/>
          <w:numId w:val="2"/>
        </w:numPr>
      </w:pPr>
      <w:r>
        <w:t>Billing Service Provider ID</w:t>
      </w:r>
    </w:p>
    <w:p w:rsidR="00FF3716" w:rsidRDefault="00FF3716" w:rsidP="00FF3716">
      <w:pPr>
        <w:pStyle w:val="listbullet10"/>
        <w:numPr>
          <w:ilvl w:val="0"/>
          <w:numId w:val="2"/>
        </w:numPr>
      </w:pPr>
      <w:r>
        <w:t>End-User Location - Value</w:t>
      </w:r>
    </w:p>
    <w:p w:rsidR="00FF3716" w:rsidRDefault="00FF3716" w:rsidP="00FF3716">
      <w:pPr>
        <w:pStyle w:val="listbullet10"/>
        <w:numPr>
          <w:ilvl w:val="0"/>
          <w:numId w:val="2"/>
        </w:numPr>
      </w:pPr>
      <w:r>
        <w:t>End-User Location - Type</w:t>
      </w:r>
    </w:p>
    <w:p w:rsidR="00FF3716" w:rsidRPr="00CB2FCC" w:rsidRDefault="00FF3716" w:rsidP="00FF3716">
      <w:pPr>
        <w:pStyle w:val="listbullet10"/>
        <w:numPr>
          <w:ilvl w:val="0"/>
          <w:numId w:val="2"/>
        </w:numPr>
        <w:rPr>
          <w:color w:val="0000FF"/>
          <w:u w:val="single"/>
        </w:rPr>
      </w:pPr>
      <w:r w:rsidRPr="00CB2FCC">
        <w:rPr>
          <w:color w:val="0000FF"/>
          <w:u w:val="single"/>
        </w:rPr>
        <w:t>SV Type</w:t>
      </w:r>
    </w:p>
    <w:p w:rsidR="00FF3716" w:rsidRPr="00CB2FCC" w:rsidRDefault="00FF3716" w:rsidP="00FF3716">
      <w:pPr>
        <w:pStyle w:val="listbullet10"/>
        <w:numPr>
          <w:ilvl w:val="0"/>
          <w:numId w:val="2"/>
        </w:numPr>
        <w:rPr>
          <w:color w:val="0000FF"/>
        </w:rPr>
      </w:pPr>
      <w:r w:rsidRPr="00CB2FCC">
        <w:rPr>
          <w:color w:val="0000FF"/>
          <w:u w:val="single"/>
        </w:rPr>
        <w:t>Alternative SPID</w:t>
      </w:r>
    </w:p>
    <w:p w:rsidR="00FF3716" w:rsidRDefault="00FF3716" w:rsidP="00FF3716">
      <w:pPr>
        <w:pStyle w:val="TableText"/>
        <w:spacing w:before="0"/>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Jan </w:t>
      </w:r>
      <w:r w:rsidRPr="000618FF">
        <w:rPr>
          <w:b/>
          <w:bCs/>
          <w:u w:val="single"/>
        </w:rPr>
        <w:t>’</w:t>
      </w:r>
      <w:r>
        <w:rPr>
          <w:b/>
          <w:bCs/>
          <w:u w:val="single"/>
        </w:rPr>
        <w:t>1</w:t>
      </w:r>
      <w:r w:rsidRPr="000618FF">
        <w:rPr>
          <w:b/>
          <w:bCs/>
          <w:u w:val="single"/>
        </w:rPr>
        <w:t>0</w:t>
      </w:r>
    </w:p>
    <w:p w:rsidR="00FF3716" w:rsidRDefault="00FF3716" w:rsidP="00FF3716">
      <w:pPr>
        <w:pStyle w:val="TableText"/>
        <w:spacing w:before="0" w:after="0"/>
        <w:rPr>
          <w:bCs/>
        </w:rPr>
      </w:pPr>
      <w:r>
        <w:rPr>
          <w:bCs/>
        </w:rPr>
        <w:t>5</w:t>
      </w:r>
      <w:r w:rsidRPr="00A238DC">
        <w:rPr>
          <w:bCs/>
        </w:rPr>
        <w:t xml:space="preserve">.  </w:t>
      </w:r>
      <w:r>
        <w:rPr>
          <w:bCs/>
        </w:rPr>
        <w:t xml:space="preserve">SOA and LSMS separation in BDD – add requirements and Appendix E BDD table entries that define separate SOA and LSMS indicators for BDD files (existing behavior is </w:t>
      </w:r>
      <w:proofErr w:type="spellStart"/>
      <w:r>
        <w:rPr>
          <w:bCs/>
        </w:rPr>
        <w:t>unhighlighted</w:t>
      </w:r>
      <w:proofErr w:type="spellEnd"/>
      <w:r>
        <w:rPr>
          <w:bCs/>
        </w:rPr>
        <w:t xml:space="preserve">, new behavior is </w:t>
      </w:r>
      <w:r w:rsidRPr="00422DE9">
        <w:rPr>
          <w:bCs/>
          <w:highlight w:val="yellow"/>
        </w:rPr>
        <w:t>highlighted</w:t>
      </w:r>
      <w:r>
        <w:rPr>
          <w:bCs/>
        </w:rPr>
        <w:t>):</w:t>
      </w:r>
    </w:p>
    <w:p w:rsidR="00FF3716" w:rsidRPr="00516FBB" w:rsidRDefault="00FF3716" w:rsidP="00FF3716">
      <w:pPr>
        <w:pStyle w:val="listbullet10"/>
        <w:numPr>
          <w:ilvl w:val="0"/>
          <w:numId w:val="3"/>
        </w:numPr>
        <w:rPr>
          <w:sz w:val="24"/>
          <w:szCs w:val="24"/>
          <w:u w:val="single"/>
        </w:rPr>
      </w:pPr>
      <w:r w:rsidRPr="00516FBB">
        <w:rPr>
          <w:sz w:val="24"/>
          <w:szCs w:val="24"/>
          <w:u w:val="single"/>
        </w:rPr>
        <w:t>BDD-SV File</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EDR</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WSMSC</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SV Type</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Optional parameters</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WSMSC</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SV Type</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Optional parameters</w:t>
      </w:r>
    </w:p>
    <w:p w:rsidR="00FF3716" w:rsidRPr="00516FBB" w:rsidRDefault="00FF3716" w:rsidP="00FF3716">
      <w:pPr>
        <w:pStyle w:val="listbullet10"/>
        <w:numPr>
          <w:ilvl w:val="0"/>
          <w:numId w:val="3"/>
        </w:numPr>
        <w:rPr>
          <w:sz w:val="24"/>
          <w:szCs w:val="24"/>
          <w:u w:val="single"/>
        </w:rPr>
      </w:pPr>
      <w:r w:rsidRPr="00516FBB">
        <w:rPr>
          <w:sz w:val="24"/>
          <w:szCs w:val="24"/>
          <w:u w:val="single"/>
        </w:rPr>
        <w:t>BDD-NPB File</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WSMSC</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SV Type</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Optional parameters</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WSMSC</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SV Type</w:t>
      </w:r>
    </w:p>
    <w:p w:rsidR="00FF3716" w:rsidRPr="00516FBB" w:rsidRDefault="00FF3716" w:rsidP="00FF3716">
      <w:pPr>
        <w:pStyle w:val="listbullet10"/>
        <w:numPr>
          <w:ilvl w:val="1"/>
          <w:numId w:val="3"/>
        </w:numPr>
        <w:rPr>
          <w:sz w:val="24"/>
          <w:szCs w:val="24"/>
          <w:highlight w:val="yellow"/>
          <w:u w:val="single"/>
        </w:rPr>
      </w:pPr>
      <w:r w:rsidRPr="00516FBB">
        <w:rPr>
          <w:sz w:val="24"/>
          <w:szCs w:val="24"/>
          <w:highlight w:val="yellow"/>
          <w:u w:val="single"/>
        </w:rPr>
        <w:t>SOA supports Optional parameters</w:t>
      </w:r>
    </w:p>
    <w:p w:rsidR="00FF3716" w:rsidRPr="00516FBB" w:rsidRDefault="00FF3716" w:rsidP="00FF3716">
      <w:pPr>
        <w:pStyle w:val="listbullet10"/>
        <w:numPr>
          <w:ilvl w:val="0"/>
          <w:numId w:val="3"/>
        </w:numPr>
        <w:rPr>
          <w:sz w:val="24"/>
          <w:szCs w:val="24"/>
          <w:u w:val="single"/>
        </w:rPr>
      </w:pPr>
      <w:r w:rsidRPr="00516FBB">
        <w:rPr>
          <w:sz w:val="24"/>
          <w:szCs w:val="24"/>
          <w:u w:val="single"/>
        </w:rPr>
        <w:t>BDD-Notifications File</w:t>
      </w:r>
    </w:p>
    <w:p w:rsidR="00FF3716" w:rsidRPr="00516FBB" w:rsidRDefault="00FF3716" w:rsidP="00FF3716">
      <w:pPr>
        <w:pStyle w:val="listbullet10"/>
        <w:numPr>
          <w:ilvl w:val="1"/>
          <w:numId w:val="3"/>
        </w:numPr>
        <w:rPr>
          <w:sz w:val="24"/>
          <w:szCs w:val="24"/>
          <w:u w:val="single"/>
        </w:rPr>
      </w:pPr>
      <w:r w:rsidRPr="00516FBB">
        <w:rPr>
          <w:sz w:val="24"/>
          <w:szCs w:val="24"/>
          <w:u w:val="single"/>
        </w:rPr>
        <w:t>SOA supports SV Type</w:t>
      </w:r>
    </w:p>
    <w:p w:rsidR="00FF3716" w:rsidRPr="00516FBB" w:rsidRDefault="00FF3716" w:rsidP="00FF3716">
      <w:pPr>
        <w:pStyle w:val="listbullet10"/>
        <w:numPr>
          <w:ilvl w:val="1"/>
          <w:numId w:val="3"/>
        </w:numPr>
        <w:rPr>
          <w:sz w:val="24"/>
          <w:szCs w:val="24"/>
          <w:u w:val="single"/>
        </w:rPr>
      </w:pPr>
      <w:r w:rsidRPr="00516FBB">
        <w:rPr>
          <w:sz w:val="24"/>
          <w:szCs w:val="24"/>
          <w:u w:val="single"/>
        </w:rPr>
        <w:t>SOA supports Optional parameters</w:t>
      </w:r>
    </w:p>
    <w:p w:rsidR="00FF3716" w:rsidRPr="00516FBB" w:rsidRDefault="00FF3716" w:rsidP="00FF3716">
      <w:pPr>
        <w:pStyle w:val="listbullet10"/>
        <w:numPr>
          <w:ilvl w:val="0"/>
          <w:numId w:val="3"/>
        </w:numPr>
        <w:rPr>
          <w:sz w:val="24"/>
          <w:szCs w:val="24"/>
          <w:u w:val="single"/>
        </w:rPr>
      </w:pPr>
      <w:r w:rsidRPr="00516FBB">
        <w:rPr>
          <w:sz w:val="24"/>
          <w:szCs w:val="24"/>
          <w:u w:val="single"/>
        </w:rPr>
        <w:t>BDD-Customer File</w:t>
      </w:r>
    </w:p>
    <w:p w:rsidR="00FF3716" w:rsidRPr="00516FBB" w:rsidRDefault="00FF3716" w:rsidP="00FF3716">
      <w:pPr>
        <w:pStyle w:val="listbullet10"/>
        <w:numPr>
          <w:ilvl w:val="1"/>
          <w:numId w:val="3"/>
        </w:numPr>
        <w:rPr>
          <w:sz w:val="24"/>
          <w:szCs w:val="24"/>
          <w:u w:val="single"/>
        </w:rPr>
      </w:pPr>
      <w:r w:rsidRPr="00516FBB">
        <w:rPr>
          <w:sz w:val="24"/>
          <w:szCs w:val="24"/>
          <w:u w:val="single"/>
        </w:rPr>
        <w:t>SOA supports SP Type</w:t>
      </w:r>
    </w:p>
    <w:p w:rsidR="00FF3716" w:rsidRPr="00516FBB" w:rsidRDefault="00FF3716" w:rsidP="00FF3716">
      <w:pPr>
        <w:pStyle w:val="listbullet10"/>
        <w:numPr>
          <w:ilvl w:val="1"/>
          <w:numId w:val="3"/>
        </w:numPr>
        <w:rPr>
          <w:sz w:val="24"/>
          <w:szCs w:val="24"/>
          <w:u w:val="single"/>
        </w:rPr>
      </w:pPr>
      <w:r w:rsidRPr="00516FBB">
        <w:rPr>
          <w:sz w:val="24"/>
          <w:szCs w:val="24"/>
          <w:u w:val="single"/>
        </w:rPr>
        <w:t>LSMS supports SP Type</w:t>
      </w:r>
    </w:p>
    <w:p w:rsidR="00FF3716" w:rsidRPr="00516FBB" w:rsidRDefault="00FF3716" w:rsidP="00FF3716">
      <w:pPr>
        <w:pStyle w:val="listbullet10"/>
        <w:numPr>
          <w:ilvl w:val="1"/>
          <w:numId w:val="3"/>
        </w:numPr>
        <w:rPr>
          <w:sz w:val="24"/>
          <w:szCs w:val="24"/>
          <w:u w:val="single"/>
        </w:rPr>
      </w:pPr>
      <w:r w:rsidRPr="00516FBB">
        <w:rPr>
          <w:sz w:val="24"/>
          <w:szCs w:val="24"/>
          <w:u w:val="single"/>
        </w:rPr>
        <w:t>(if either SOA supports is TRUE, or LSMS supports is TRUE, the SP Type field is included in the BDD file)</w:t>
      </w:r>
    </w:p>
    <w:p w:rsidR="00FF3716" w:rsidRDefault="00FF3716" w:rsidP="00FF3716">
      <w:pPr>
        <w:pStyle w:val="TableText"/>
        <w:spacing w:before="0" w:after="0"/>
        <w:rPr>
          <w:bCs/>
        </w:rPr>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Feb </w:t>
      </w:r>
      <w:r w:rsidRPr="000618FF">
        <w:rPr>
          <w:b/>
          <w:bCs/>
          <w:u w:val="single"/>
        </w:rPr>
        <w:t>’</w:t>
      </w:r>
      <w:r>
        <w:rPr>
          <w:b/>
          <w:bCs/>
          <w:u w:val="single"/>
        </w:rPr>
        <w:t>1</w:t>
      </w:r>
      <w:r w:rsidRPr="000618FF">
        <w:rPr>
          <w:b/>
          <w:bCs/>
          <w:u w:val="single"/>
        </w:rPr>
        <w:t>0</w:t>
      </w:r>
    </w:p>
    <w:p w:rsidR="00FF3716" w:rsidRDefault="00FF3716" w:rsidP="00FF3716">
      <w:pPr>
        <w:pStyle w:val="TableText"/>
        <w:spacing w:before="0" w:after="0"/>
        <w:rPr>
          <w:bCs/>
        </w:rPr>
      </w:pPr>
      <w:r>
        <w:rPr>
          <w:bCs/>
        </w:rPr>
        <w:t>6</w:t>
      </w:r>
      <w:r w:rsidRPr="00A238DC">
        <w:rPr>
          <w:bCs/>
        </w:rPr>
        <w:t xml:space="preserve">.  </w:t>
      </w:r>
      <w:r>
        <w:rPr>
          <w:bCs/>
        </w:rPr>
        <w:t>Add a new sub-section below 1.2.19 (Medium Timers for Simple Ports).  Describe the various scenarios that affect the inclusion/exclusion of the medium timers in the actual notifications and in the BDD-notifications file.</w:t>
      </w:r>
    </w:p>
    <w:p w:rsidR="00FF3716" w:rsidRDefault="00FF3716" w:rsidP="00FF3716">
      <w:pPr>
        <w:pStyle w:val="TableText"/>
        <w:spacing w:before="0" w:after="0"/>
        <w:rPr>
          <w:bCs/>
        </w:rPr>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Mar </w:t>
      </w:r>
      <w:r w:rsidRPr="000618FF">
        <w:rPr>
          <w:b/>
          <w:bCs/>
          <w:u w:val="single"/>
        </w:rPr>
        <w:t>’</w:t>
      </w:r>
      <w:r>
        <w:rPr>
          <w:b/>
          <w:bCs/>
          <w:u w:val="single"/>
        </w:rPr>
        <w:t>1</w:t>
      </w:r>
      <w:r w:rsidRPr="000618FF">
        <w:rPr>
          <w:b/>
          <w:bCs/>
          <w:u w:val="single"/>
        </w:rPr>
        <w:t>0</w:t>
      </w:r>
    </w:p>
    <w:p w:rsidR="00FF3716" w:rsidRDefault="00FF3716" w:rsidP="00FF3716">
      <w:pPr>
        <w:pStyle w:val="TableText"/>
        <w:spacing w:before="0" w:after="0"/>
        <w:rPr>
          <w:bCs/>
        </w:rPr>
      </w:pPr>
      <w:r>
        <w:rPr>
          <w:bCs/>
        </w:rPr>
        <w:t>7</w:t>
      </w:r>
      <w:r w:rsidRPr="00A238DC">
        <w:rPr>
          <w:bCs/>
        </w:rPr>
        <w:t xml:space="preserve">.  </w:t>
      </w:r>
      <w:r>
        <w:rPr>
          <w:bCs/>
        </w:rPr>
        <w:t>Text correction for the following requirement:</w:t>
      </w:r>
    </w:p>
    <w:p w:rsidR="00FF3716" w:rsidRDefault="00FF3716" w:rsidP="00FF3716">
      <w:pPr>
        <w:pStyle w:val="RequirementHead"/>
      </w:pPr>
      <w:r>
        <w:t>R5-74.4</w:t>
      </w:r>
      <w:r>
        <w:tab/>
        <w:t>Query Subscription Version - Output Data - LSMS</w:t>
      </w:r>
    </w:p>
    <w:p w:rsidR="00FF3716" w:rsidRDefault="00FF3716" w:rsidP="00FF3716">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FF3716" w:rsidRPr="00516FBB" w:rsidRDefault="00FF3716" w:rsidP="00FF3716">
      <w:pPr>
        <w:pStyle w:val="ListBullet1"/>
        <w:numPr>
          <w:ilvl w:val="0"/>
          <w:numId w:val="2"/>
        </w:numPr>
        <w:spacing w:after="0"/>
        <w:rPr>
          <w:sz w:val="20"/>
        </w:rPr>
      </w:pPr>
      <w:r w:rsidRPr="00C37C26">
        <w:rPr>
          <w:sz w:val="20"/>
        </w:rPr>
        <w:t>[snip]</w:t>
      </w:r>
    </w:p>
    <w:p w:rsidR="00FF3716" w:rsidRPr="00516FBB" w:rsidRDefault="00FF3716" w:rsidP="00FF3716">
      <w:pPr>
        <w:pStyle w:val="ListBullet1"/>
        <w:numPr>
          <w:ilvl w:val="0"/>
          <w:numId w:val="2"/>
        </w:numPr>
        <w:spacing w:after="0"/>
        <w:rPr>
          <w:sz w:val="20"/>
        </w:rPr>
      </w:pPr>
      <w:r w:rsidRPr="00C37C26">
        <w:rPr>
          <w:sz w:val="20"/>
        </w:rPr>
        <w:t>Timer Type (for SOAs that support Timer Type)</w:t>
      </w:r>
    </w:p>
    <w:p w:rsidR="00FF3716" w:rsidRPr="00516FBB" w:rsidRDefault="00FF3716" w:rsidP="00FF3716">
      <w:pPr>
        <w:pStyle w:val="ListBullet1"/>
        <w:numPr>
          <w:ilvl w:val="0"/>
          <w:numId w:val="2"/>
        </w:numPr>
        <w:spacing w:after="0"/>
        <w:rPr>
          <w:sz w:val="20"/>
        </w:rPr>
      </w:pPr>
      <w:r w:rsidRPr="00C37C26">
        <w:rPr>
          <w:sz w:val="20"/>
        </w:rPr>
        <w:t>Business Hours Type (for SOAs that support Business Hours)</w:t>
      </w:r>
    </w:p>
    <w:p w:rsidR="00FF3716" w:rsidRPr="00516FBB" w:rsidRDefault="00FF3716" w:rsidP="00FF3716">
      <w:pPr>
        <w:pStyle w:val="ListBullet1"/>
        <w:numPr>
          <w:ilvl w:val="0"/>
          <w:numId w:val="2"/>
        </w:numPr>
        <w:spacing w:after="0"/>
        <w:rPr>
          <w:sz w:val="20"/>
        </w:rPr>
      </w:pPr>
      <w:r w:rsidRPr="00C37C26">
        <w:rPr>
          <w:sz w:val="20"/>
        </w:rPr>
        <w:t>[snip]</w:t>
      </w:r>
    </w:p>
    <w:p w:rsidR="00FF3716" w:rsidRPr="00516FBB" w:rsidRDefault="00FF3716" w:rsidP="00FF3716">
      <w:pPr>
        <w:pStyle w:val="ListBullet1"/>
        <w:numPr>
          <w:ilvl w:val="0"/>
          <w:numId w:val="2"/>
        </w:numPr>
        <w:spacing w:after="0"/>
        <w:rPr>
          <w:sz w:val="20"/>
        </w:rPr>
      </w:pPr>
      <w:r w:rsidRPr="00C37C26">
        <w:rPr>
          <w:sz w:val="20"/>
        </w:rPr>
        <w:t>Alt-End User Location Value (if supported by the Service Provider SOA)</w:t>
      </w:r>
    </w:p>
    <w:p w:rsidR="00FF3716" w:rsidRPr="00516FBB" w:rsidRDefault="00FF3716" w:rsidP="00FF3716">
      <w:pPr>
        <w:pStyle w:val="ListBullet1"/>
        <w:numPr>
          <w:ilvl w:val="0"/>
          <w:numId w:val="2"/>
        </w:numPr>
        <w:spacing w:after="0"/>
        <w:rPr>
          <w:sz w:val="20"/>
        </w:rPr>
      </w:pPr>
      <w:r w:rsidRPr="00C37C26">
        <w:rPr>
          <w:sz w:val="20"/>
        </w:rPr>
        <w:t>Alt-End User Location Type (if supported by the Service Provider SOA)</w:t>
      </w:r>
    </w:p>
    <w:p w:rsidR="00FF3716" w:rsidRPr="00516FBB" w:rsidRDefault="00FF3716" w:rsidP="00FF3716">
      <w:pPr>
        <w:pStyle w:val="ListBullet1"/>
        <w:numPr>
          <w:ilvl w:val="0"/>
          <w:numId w:val="2"/>
        </w:numPr>
        <w:spacing w:after="0"/>
        <w:rPr>
          <w:sz w:val="20"/>
        </w:rPr>
      </w:pPr>
      <w:r w:rsidRPr="00C37C26">
        <w:rPr>
          <w:sz w:val="20"/>
        </w:rPr>
        <w:t>Alt-Billing ID (if supported by the Service Provider SOA)</w:t>
      </w:r>
    </w:p>
    <w:p w:rsidR="00FF3716" w:rsidRPr="00516FBB" w:rsidRDefault="00FF3716" w:rsidP="00FF3716">
      <w:pPr>
        <w:pStyle w:val="ListBullet1"/>
        <w:numPr>
          <w:ilvl w:val="0"/>
          <w:numId w:val="2"/>
        </w:numPr>
        <w:spacing w:after="0"/>
        <w:rPr>
          <w:sz w:val="20"/>
        </w:rPr>
      </w:pPr>
      <w:r w:rsidRPr="00C37C26">
        <w:rPr>
          <w:sz w:val="20"/>
        </w:rPr>
        <w:t>Voice URI (if supported by the Service Provider SOA)</w:t>
      </w:r>
    </w:p>
    <w:p w:rsidR="00FF3716" w:rsidRPr="00516FBB" w:rsidRDefault="00FF3716" w:rsidP="00FF3716">
      <w:pPr>
        <w:pStyle w:val="ListBullet1"/>
        <w:numPr>
          <w:ilvl w:val="0"/>
          <w:numId w:val="2"/>
        </w:numPr>
        <w:spacing w:after="0"/>
        <w:rPr>
          <w:sz w:val="20"/>
        </w:rPr>
      </w:pPr>
      <w:r w:rsidRPr="00C37C26">
        <w:rPr>
          <w:sz w:val="20"/>
        </w:rPr>
        <w:t>MMS URI (if supported by the Service Provider SOA)</w:t>
      </w:r>
    </w:p>
    <w:p w:rsidR="00FF3716" w:rsidRPr="00516FBB" w:rsidRDefault="00FF3716" w:rsidP="00FF3716">
      <w:pPr>
        <w:pStyle w:val="ListBullet1"/>
        <w:numPr>
          <w:ilvl w:val="0"/>
          <w:numId w:val="2"/>
        </w:numPr>
        <w:spacing w:after="360"/>
        <w:rPr>
          <w:sz w:val="20"/>
        </w:rPr>
      </w:pPr>
      <w:r w:rsidRPr="00C37C26">
        <w:rPr>
          <w:sz w:val="20"/>
        </w:rPr>
        <w:t>SMS URI (if supported by the Service Provider SOA)</w:t>
      </w:r>
    </w:p>
    <w:p w:rsidR="00FF3716" w:rsidRDefault="00FF3716" w:rsidP="00FF3716">
      <w:pPr>
        <w:pStyle w:val="TableText"/>
        <w:spacing w:before="0" w:after="0"/>
        <w:rPr>
          <w:bCs/>
        </w:rPr>
      </w:pPr>
    </w:p>
    <w:p w:rsidR="00FF3716" w:rsidRDefault="00FF3716" w:rsidP="00FF3716">
      <w:pPr>
        <w:pStyle w:val="TableText"/>
        <w:spacing w:before="0" w:after="0"/>
        <w:rPr>
          <w:bCs/>
        </w:rPr>
      </w:pPr>
      <w:r>
        <w:rPr>
          <w:bCs/>
        </w:rPr>
        <w:t>New text should read:</w:t>
      </w:r>
    </w:p>
    <w:p w:rsidR="00FF3716" w:rsidRDefault="00FF3716" w:rsidP="00FF3716">
      <w:pPr>
        <w:pStyle w:val="RequirementHead"/>
      </w:pPr>
      <w:r>
        <w:t>R5-74.4</w:t>
      </w:r>
      <w:r>
        <w:tab/>
        <w:t>Query Subscription Version - Output Data - LSMS</w:t>
      </w:r>
    </w:p>
    <w:p w:rsidR="00FF3716" w:rsidRDefault="00FF3716" w:rsidP="00FF3716">
      <w:pPr>
        <w:pStyle w:val="RequirementBody"/>
        <w:numPr>
          <w:ilvl w:val="12"/>
          <w:numId w:val="0"/>
        </w:numPr>
        <w:spacing w:after="120"/>
      </w:pPr>
      <w:r>
        <w:t>NPAC SMS shall return the following output data for a Subscription Version query request initiated over the NPAC SMS to Local SMS interface:  (reference NANC 399)</w:t>
      </w:r>
    </w:p>
    <w:p w:rsidR="00FF3716" w:rsidRPr="00516FBB" w:rsidRDefault="00FF3716" w:rsidP="00FF3716">
      <w:pPr>
        <w:pStyle w:val="ListBullet1"/>
        <w:numPr>
          <w:ilvl w:val="0"/>
          <w:numId w:val="2"/>
        </w:numPr>
        <w:spacing w:after="0"/>
        <w:rPr>
          <w:sz w:val="20"/>
        </w:rPr>
      </w:pPr>
      <w:r w:rsidRPr="00C37C26">
        <w:rPr>
          <w:sz w:val="20"/>
        </w:rPr>
        <w:t>[snip]</w:t>
      </w:r>
    </w:p>
    <w:p w:rsidR="00FF3716" w:rsidRPr="00516FBB" w:rsidRDefault="00FF3716" w:rsidP="00FF3716">
      <w:pPr>
        <w:pStyle w:val="ListBullet1"/>
        <w:numPr>
          <w:ilvl w:val="0"/>
          <w:numId w:val="2"/>
        </w:numPr>
        <w:spacing w:after="0"/>
        <w:rPr>
          <w:strike/>
          <w:sz w:val="20"/>
        </w:rPr>
      </w:pPr>
      <w:r w:rsidRPr="00C37C26">
        <w:rPr>
          <w:strike/>
          <w:sz w:val="20"/>
        </w:rPr>
        <w:t>Timer Type (for SOAs that support Timer Type)</w:t>
      </w:r>
    </w:p>
    <w:p w:rsidR="00FF3716" w:rsidRPr="00516FBB" w:rsidRDefault="00FF3716" w:rsidP="00FF3716">
      <w:pPr>
        <w:pStyle w:val="ListBullet1"/>
        <w:numPr>
          <w:ilvl w:val="0"/>
          <w:numId w:val="2"/>
        </w:numPr>
        <w:spacing w:after="0"/>
        <w:rPr>
          <w:strike/>
          <w:sz w:val="20"/>
        </w:rPr>
      </w:pPr>
      <w:r w:rsidRPr="00C37C26">
        <w:rPr>
          <w:strike/>
          <w:sz w:val="20"/>
        </w:rPr>
        <w:t>Business Hours Type (for SOAs that support Business Hours)</w:t>
      </w:r>
    </w:p>
    <w:p w:rsidR="00FF3716" w:rsidRPr="00516FBB" w:rsidRDefault="00FF3716" w:rsidP="00FF3716">
      <w:pPr>
        <w:pStyle w:val="ListBullet1"/>
        <w:numPr>
          <w:ilvl w:val="0"/>
          <w:numId w:val="2"/>
        </w:numPr>
        <w:spacing w:after="0"/>
        <w:rPr>
          <w:sz w:val="20"/>
        </w:rPr>
      </w:pPr>
      <w:r w:rsidRPr="00C37C26">
        <w:rPr>
          <w:sz w:val="20"/>
        </w:rPr>
        <w:t>[snip]</w:t>
      </w:r>
    </w:p>
    <w:p w:rsidR="00FF3716" w:rsidRPr="00516FBB" w:rsidRDefault="00FF3716" w:rsidP="00FF3716">
      <w:pPr>
        <w:pStyle w:val="ListBullet1"/>
        <w:numPr>
          <w:ilvl w:val="0"/>
          <w:numId w:val="2"/>
        </w:numPr>
        <w:spacing w:after="0"/>
        <w:rPr>
          <w:sz w:val="20"/>
        </w:rPr>
      </w:pPr>
      <w:r w:rsidRPr="00C37C26">
        <w:rPr>
          <w:sz w:val="20"/>
        </w:rPr>
        <w:t xml:space="preserve">Alt-End User Location Value (if supported by the Service Provider </w:t>
      </w:r>
      <w:r w:rsidRPr="00C37C26">
        <w:rPr>
          <w:strike/>
          <w:sz w:val="20"/>
        </w:rPr>
        <w:t>SOA</w:t>
      </w:r>
      <w:r w:rsidRPr="00C37C26">
        <w:rPr>
          <w:color w:val="0000CC"/>
          <w:sz w:val="20"/>
        </w:rPr>
        <w:t>LSMS</w:t>
      </w:r>
      <w:r w:rsidRPr="00C37C26">
        <w:rPr>
          <w:sz w:val="20"/>
        </w:rPr>
        <w:t>)</w:t>
      </w:r>
    </w:p>
    <w:p w:rsidR="00FF3716" w:rsidRPr="00516FBB" w:rsidRDefault="00FF3716" w:rsidP="00FF3716">
      <w:pPr>
        <w:pStyle w:val="ListBullet1"/>
        <w:numPr>
          <w:ilvl w:val="0"/>
          <w:numId w:val="2"/>
        </w:numPr>
        <w:spacing w:after="0"/>
        <w:rPr>
          <w:sz w:val="20"/>
        </w:rPr>
      </w:pPr>
      <w:r w:rsidRPr="00C37C26">
        <w:rPr>
          <w:sz w:val="20"/>
        </w:rPr>
        <w:t xml:space="preserve">Alt-End User Location Type (if supported by the Service Provider </w:t>
      </w:r>
      <w:r w:rsidRPr="00516FBB">
        <w:rPr>
          <w:strike/>
          <w:sz w:val="20"/>
        </w:rPr>
        <w:t>SOA</w:t>
      </w:r>
      <w:r w:rsidRPr="00516FBB">
        <w:rPr>
          <w:color w:val="0000CC"/>
          <w:sz w:val="20"/>
        </w:rPr>
        <w:t>LSMS</w:t>
      </w:r>
      <w:r w:rsidRPr="00C37C26">
        <w:rPr>
          <w:sz w:val="20"/>
        </w:rPr>
        <w:t>)</w:t>
      </w:r>
    </w:p>
    <w:p w:rsidR="00FF3716" w:rsidRPr="00516FBB" w:rsidRDefault="00FF3716" w:rsidP="00FF3716">
      <w:pPr>
        <w:pStyle w:val="ListBullet1"/>
        <w:numPr>
          <w:ilvl w:val="0"/>
          <w:numId w:val="2"/>
        </w:numPr>
        <w:spacing w:after="0"/>
        <w:rPr>
          <w:sz w:val="20"/>
        </w:rPr>
      </w:pPr>
      <w:r w:rsidRPr="00C37C26">
        <w:rPr>
          <w:sz w:val="20"/>
        </w:rPr>
        <w:t xml:space="preserve">Alt-Billing ID (if supported by the Service Provider </w:t>
      </w:r>
      <w:r w:rsidRPr="00516FBB">
        <w:rPr>
          <w:strike/>
          <w:sz w:val="20"/>
        </w:rPr>
        <w:t>SOA</w:t>
      </w:r>
      <w:r w:rsidRPr="00516FBB">
        <w:rPr>
          <w:color w:val="0000CC"/>
          <w:sz w:val="20"/>
        </w:rPr>
        <w:t>LSMS</w:t>
      </w:r>
      <w:r w:rsidRPr="00C37C26">
        <w:rPr>
          <w:sz w:val="20"/>
        </w:rPr>
        <w:t>)</w:t>
      </w:r>
    </w:p>
    <w:p w:rsidR="00FF3716" w:rsidRPr="00516FBB" w:rsidRDefault="00FF3716" w:rsidP="00FF3716">
      <w:pPr>
        <w:pStyle w:val="ListBullet1"/>
        <w:numPr>
          <w:ilvl w:val="0"/>
          <w:numId w:val="2"/>
        </w:numPr>
        <w:spacing w:after="0"/>
        <w:rPr>
          <w:sz w:val="20"/>
        </w:rPr>
      </w:pPr>
      <w:r w:rsidRPr="00C37C26">
        <w:rPr>
          <w:sz w:val="20"/>
        </w:rPr>
        <w:t xml:space="preserve">Voice URI (if supported by the Service Provider </w:t>
      </w:r>
      <w:r w:rsidRPr="00516FBB">
        <w:rPr>
          <w:strike/>
          <w:sz w:val="20"/>
        </w:rPr>
        <w:t>SOA</w:t>
      </w:r>
      <w:r w:rsidRPr="00516FBB">
        <w:rPr>
          <w:color w:val="0000CC"/>
          <w:sz w:val="20"/>
        </w:rPr>
        <w:t>LSMS</w:t>
      </w:r>
      <w:r w:rsidRPr="00C37C26">
        <w:rPr>
          <w:sz w:val="20"/>
        </w:rPr>
        <w:t>)</w:t>
      </w:r>
    </w:p>
    <w:p w:rsidR="00FF3716" w:rsidRPr="00516FBB" w:rsidRDefault="00FF3716" w:rsidP="00FF3716">
      <w:pPr>
        <w:pStyle w:val="ListBullet1"/>
        <w:numPr>
          <w:ilvl w:val="0"/>
          <w:numId w:val="2"/>
        </w:numPr>
        <w:spacing w:after="0"/>
        <w:rPr>
          <w:sz w:val="20"/>
        </w:rPr>
      </w:pPr>
      <w:r w:rsidRPr="00C37C26">
        <w:rPr>
          <w:sz w:val="20"/>
        </w:rPr>
        <w:t xml:space="preserve">MMS URI (if supported by the Service Provider </w:t>
      </w:r>
      <w:r w:rsidRPr="00516FBB">
        <w:rPr>
          <w:strike/>
          <w:sz w:val="20"/>
        </w:rPr>
        <w:t>SOA</w:t>
      </w:r>
      <w:r w:rsidRPr="00516FBB">
        <w:rPr>
          <w:color w:val="0000CC"/>
          <w:sz w:val="20"/>
        </w:rPr>
        <w:t>LSMS</w:t>
      </w:r>
      <w:r w:rsidRPr="00C37C26">
        <w:rPr>
          <w:sz w:val="20"/>
        </w:rPr>
        <w:t>)</w:t>
      </w:r>
    </w:p>
    <w:p w:rsidR="00FF3716" w:rsidRPr="00516FBB" w:rsidRDefault="00FF3716" w:rsidP="00FF3716">
      <w:pPr>
        <w:pStyle w:val="ListBullet1"/>
        <w:numPr>
          <w:ilvl w:val="0"/>
          <w:numId w:val="2"/>
        </w:numPr>
        <w:spacing w:after="360"/>
        <w:rPr>
          <w:sz w:val="20"/>
        </w:rPr>
      </w:pPr>
      <w:r w:rsidRPr="00C37C26">
        <w:rPr>
          <w:sz w:val="20"/>
        </w:rPr>
        <w:t xml:space="preserve">SMS URI (if supported by the Service Provider </w:t>
      </w:r>
      <w:r w:rsidRPr="00516FBB">
        <w:rPr>
          <w:strike/>
          <w:sz w:val="20"/>
        </w:rPr>
        <w:t>SOA</w:t>
      </w:r>
      <w:r w:rsidRPr="00516FBB">
        <w:rPr>
          <w:color w:val="0000CC"/>
          <w:sz w:val="20"/>
        </w:rPr>
        <w:t>LSMS</w:t>
      </w:r>
      <w:r w:rsidRPr="00C37C26">
        <w:rPr>
          <w:sz w:val="20"/>
        </w:rPr>
        <w:t>)</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8</w:t>
      </w:r>
      <w:r w:rsidRPr="00A315F2">
        <w:rPr>
          <w:bCs/>
        </w:rPr>
        <w:t xml:space="preserve">.  </w:t>
      </w:r>
      <w:r>
        <w:t>AR3.1 was previously deleted in section 3.1.  To maintain consistency, it needs to be deleted from section 1.5.</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9</w:t>
      </w:r>
      <w:r w:rsidRPr="00A315F2">
        <w:rPr>
          <w:bCs/>
        </w:rPr>
        <w:t xml:space="preserve">.  </w:t>
      </w:r>
      <w:r>
        <w:rPr>
          <w:bCs/>
        </w:rPr>
        <w:t>In requirement R7-111.8, change “SP” to “Service Provider”.</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10</w:t>
      </w:r>
      <w:r w:rsidRPr="00A315F2">
        <w:rPr>
          <w:bCs/>
        </w:rPr>
        <w:t xml:space="preserve">.  </w:t>
      </w:r>
      <w:r>
        <w:rPr>
          <w:bCs/>
        </w:rPr>
        <w:t xml:space="preserve">In requirement R7-85.2, change “NPA </w:t>
      </w:r>
      <w:proofErr w:type="spellStart"/>
      <w:r>
        <w:rPr>
          <w:bCs/>
        </w:rPr>
        <w:t>Administative</w:t>
      </w:r>
      <w:proofErr w:type="spellEnd"/>
      <w:r>
        <w:rPr>
          <w:bCs/>
        </w:rPr>
        <w:t xml:space="preserve">” to “NPAC </w:t>
      </w:r>
      <w:proofErr w:type="spellStart"/>
      <w:r>
        <w:rPr>
          <w:bCs/>
        </w:rPr>
        <w:t>Administative</w:t>
      </w:r>
      <w:proofErr w:type="spellEnd"/>
      <w:r>
        <w:rPr>
          <w:bCs/>
        </w:rPr>
        <w:t>”.</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11</w:t>
      </w:r>
      <w:r w:rsidRPr="00A315F2">
        <w:rPr>
          <w:bCs/>
        </w:rPr>
        <w:t xml:space="preserve">.  </w:t>
      </w:r>
      <w:r>
        <w:rPr>
          <w:bCs/>
        </w:rPr>
        <w:t>In requirement R7-107.1, change “provide” to “provides”.</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12</w:t>
      </w:r>
      <w:r w:rsidRPr="00A315F2">
        <w:rPr>
          <w:bCs/>
        </w:rPr>
        <w:t xml:space="preserve">.  </w:t>
      </w:r>
      <w:r>
        <w:rPr>
          <w:bCs/>
        </w:rPr>
        <w:t>In requirement R7-108.2, change “acknowledgment” to “Service Providers’ acknowledgment”.</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13</w:t>
      </w:r>
      <w:r w:rsidRPr="00A315F2">
        <w:rPr>
          <w:bCs/>
        </w:rPr>
        <w:t xml:space="preserve">.  </w:t>
      </w:r>
      <w:r>
        <w:rPr>
          <w:bCs/>
        </w:rPr>
        <w:t>Add a row for Notification BDD Timer Type Business Hours Indicator to NPAC Customer Data Model to be consistent with requirements for Notification BDD Timer Type Business Hours tunable parameter.</w:t>
      </w:r>
    </w:p>
    <w:p w:rsidR="00FF3716" w:rsidRDefault="00FF3716" w:rsidP="00FF3716">
      <w:pPr>
        <w:pStyle w:val="TableText"/>
        <w:spacing w:before="0"/>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Apr </w:t>
      </w:r>
      <w:r w:rsidRPr="000618FF">
        <w:rPr>
          <w:b/>
          <w:bCs/>
          <w:u w:val="single"/>
        </w:rPr>
        <w:t>’</w:t>
      </w:r>
      <w:r>
        <w:rPr>
          <w:b/>
          <w:bCs/>
          <w:u w:val="single"/>
        </w:rPr>
        <w:t>1</w:t>
      </w:r>
      <w:r w:rsidRPr="000618FF">
        <w:rPr>
          <w:b/>
          <w:bCs/>
          <w:u w:val="single"/>
        </w:rPr>
        <w:t>0</w:t>
      </w:r>
    </w:p>
    <w:p w:rsidR="00FF3716" w:rsidRDefault="00FF3716" w:rsidP="00FF3716">
      <w:pPr>
        <w:pStyle w:val="TableText"/>
        <w:spacing w:before="0"/>
        <w:rPr>
          <w:bCs/>
        </w:rPr>
      </w:pPr>
      <w:r>
        <w:rPr>
          <w:bCs/>
        </w:rPr>
        <w:t>14</w:t>
      </w:r>
      <w:r w:rsidRPr="00A315F2">
        <w:rPr>
          <w:bCs/>
        </w:rPr>
        <w:t xml:space="preserve">.  </w:t>
      </w:r>
      <w:r>
        <w:rPr>
          <w:bCs/>
        </w:rPr>
        <w:t>Update table 1-3 in section 1.2.15 for proper GMT offset for simple ports.</w:t>
      </w:r>
    </w:p>
    <w:p w:rsidR="00FF3716" w:rsidRDefault="00FF3716" w:rsidP="00FF3716">
      <w:pPr>
        <w:pStyle w:val="TableText"/>
        <w:spacing w:before="0"/>
        <w:rPr>
          <w:bCs/>
        </w:rPr>
      </w:pPr>
    </w:p>
    <w:p w:rsidR="00FF3716" w:rsidRDefault="00FF3716" w:rsidP="00FF3716">
      <w:pPr>
        <w:pStyle w:val="TableText"/>
        <w:spacing w:before="0"/>
        <w:rPr>
          <w:bCs/>
        </w:rPr>
      </w:pPr>
      <w:r>
        <w:rPr>
          <w:bCs/>
        </w:rPr>
        <w:t>15.  In requirement RN3-4.17, add note that the last NPA-NXX within an NPA Split is allowed to be removed.</w:t>
      </w:r>
    </w:p>
    <w:p w:rsidR="00FF3716" w:rsidRDefault="00FF3716" w:rsidP="00FF3716">
      <w:pPr>
        <w:pStyle w:val="TableText"/>
        <w:spacing w:before="0"/>
        <w:rPr>
          <w:bCs/>
        </w:rPr>
      </w:pPr>
    </w:p>
    <w:p w:rsidR="00FF3716" w:rsidRDefault="00FF3716" w:rsidP="00FF3716">
      <w:pPr>
        <w:pStyle w:val="TableText"/>
        <w:spacing w:before="0"/>
        <w:rPr>
          <w:bCs/>
        </w:rPr>
      </w:pPr>
      <w:r>
        <w:rPr>
          <w:bCs/>
        </w:rPr>
        <w:t>16.  In requirement RR3-27, clarify that it’s the messages that are filtered and sent over the SOA interface.</w:t>
      </w:r>
    </w:p>
    <w:p w:rsidR="00FF3716" w:rsidRDefault="00FF3716" w:rsidP="00FF3716">
      <w:pPr>
        <w:pStyle w:val="TableText"/>
        <w:spacing w:before="0"/>
        <w:rPr>
          <w:bCs/>
        </w:rPr>
      </w:pPr>
    </w:p>
    <w:p w:rsidR="00FF3716" w:rsidRDefault="00FF3716" w:rsidP="00FF3716">
      <w:pPr>
        <w:pStyle w:val="TableText"/>
        <w:spacing w:before="0"/>
        <w:rPr>
          <w:bCs/>
        </w:rPr>
      </w:pPr>
      <w:r>
        <w:rPr>
          <w:bCs/>
        </w:rPr>
        <w:t>17.  In requirement R7-56, change the heading from “Use of Encryption” to “User ID and System ID”.</w:t>
      </w:r>
    </w:p>
    <w:p w:rsidR="00FF3716" w:rsidRDefault="00FF3716" w:rsidP="00FF3716">
      <w:pPr>
        <w:pStyle w:val="TableText"/>
        <w:spacing w:before="0"/>
        <w:rPr>
          <w:bCs/>
        </w:rPr>
      </w:pPr>
    </w:p>
    <w:p w:rsidR="00FF3716" w:rsidRDefault="00FF3716" w:rsidP="00FF3716">
      <w:pPr>
        <w:pStyle w:val="TableText"/>
        <w:spacing w:before="0"/>
        <w:rPr>
          <w:bCs/>
        </w:rPr>
      </w:pPr>
      <w:r>
        <w:rPr>
          <w:bCs/>
        </w:rPr>
        <w:t>18.  In requirement R7-94.1, change the text from “a public key crypto system” to “an RSA public key crypto system”.  This change makes R7-94.2 unnecessary, so it will be deleted.</w:t>
      </w:r>
    </w:p>
    <w:p w:rsidR="00FF3716" w:rsidRDefault="00FF3716" w:rsidP="00FF3716">
      <w:pPr>
        <w:pStyle w:val="TableText"/>
        <w:spacing w:before="0"/>
        <w:rPr>
          <w:bCs/>
        </w:rPr>
      </w:pPr>
    </w:p>
    <w:p w:rsidR="00FF3716" w:rsidRDefault="00FF3716" w:rsidP="00FF3716">
      <w:pPr>
        <w:pStyle w:val="TableText"/>
        <w:spacing w:before="0"/>
        <w:rPr>
          <w:bCs/>
        </w:rPr>
      </w:pPr>
      <w:r>
        <w:rPr>
          <w:bCs/>
        </w:rPr>
        <w:t>19.  In requirement R7-98, add note that heartbeat Notifications do not include Access Control.</w:t>
      </w:r>
    </w:p>
    <w:p w:rsidR="00FF3716" w:rsidRDefault="00FF3716" w:rsidP="00FF3716">
      <w:pPr>
        <w:pStyle w:val="TableText"/>
        <w:spacing w:before="0"/>
        <w:rPr>
          <w:bCs/>
        </w:rPr>
      </w:pPr>
    </w:p>
    <w:p w:rsidR="00FF3716" w:rsidRDefault="00FF3716" w:rsidP="00FF3716">
      <w:pPr>
        <w:pStyle w:val="TableText"/>
        <w:spacing w:before="0"/>
        <w:rPr>
          <w:bCs/>
        </w:rPr>
      </w:pPr>
      <w:r>
        <w:rPr>
          <w:bCs/>
        </w:rPr>
        <w:t>20.  Remove obsolete requirement R7-107.3, Paper copy of MD5 Hashes of Keys.</w:t>
      </w:r>
    </w:p>
    <w:p w:rsidR="00FF3716" w:rsidRDefault="00FF3716" w:rsidP="00FF3716">
      <w:pPr>
        <w:pStyle w:val="TableText"/>
        <w:spacing w:before="0"/>
        <w:rPr>
          <w:bCs/>
        </w:rPr>
      </w:pPr>
    </w:p>
    <w:p w:rsidR="00FF3716" w:rsidRDefault="00FF3716" w:rsidP="00FF3716">
      <w:pPr>
        <w:pStyle w:val="TableText"/>
        <w:spacing w:before="0"/>
        <w:rPr>
          <w:bCs/>
        </w:rPr>
      </w:pPr>
      <w:r>
        <w:rPr>
          <w:bCs/>
        </w:rPr>
        <w:t xml:space="preserve">21.  In requirement R7-107.4, update the text, “NPAC SMS shall support exchange of the list of keys </w:t>
      </w:r>
      <w:r w:rsidRPr="002F6464">
        <w:rPr>
          <w:bCs/>
          <w:strike/>
          <w:highlight w:val="yellow"/>
        </w:rPr>
        <w:t>in person or</w:t>
      </w:r>
      <w:r>
        <w:rPr>
          <w:bCs/>
        </w:rPr>
        <w:t xml:space="preserve"> remotely.”</w:t>
      </w:r>
    </w:p>
    <w:p w:rsidR="00FF3716" w:rsidRDefault="00FF3716" w:rsidP="00FF3716">
      <w:pPr>
        <w:pStyle w:val="TableText"/>
        <w:spacing w:before="0"/>
        <w:rPr>
          <w:bCs/>
        </w:rPr>
      </w:pPr>
    </w:p>
    <w:p w:rsidR="00FF3716" w:rsidRDefault="00FF3716" w:rsidP="00FF3716">
      <w:pPr>
        <w:pStyle w:val="TableText"/>
        <w:spacing w:before="0"/>
        <w:rPr>
          <w:bCs/>
        </w:rPr>
      </w:pPr>
      <w:r>
        <w:rPr>
          <w:bCs/>
        </w:rPr>
        <w:t xml:space="preserve">22.  In requirement R7-107.5, update the text, “NPAC SMS shall convey the lists via </w:t>
      </w:r>
      <w:r w:rsidRPr="002F6464">
        <w:rPr>
          <w:bCs/>
          <w:strike/>
          <w:highlight w:val="yellow"/>
        </w:rPr>
        <w:t>two different channels, diskette sent via certified mail, and a file send via Email or</w:t>
      </w:r>
      <w:r>
        <w:rPr>
          <w:bCs/>
        </w:rPr>
        <w:t xml:space="preserve"> Secure FTP using encryption mechanisms</w:t>
      </w:r>
      <w:r w:rsidRPr="002F6464">
        <w:rPr>
          <w:bCs/>
          <w:strike/>
        </w:rPr>
        <w:t xml:space="preserve"> </w:t>
      </w:r>
      <w:r w:rsidRPr="002F6464">
        <w:rPr>
          <w:bCs/>
          <w:strike/>
          <w:highlight w:val="yellow"/>
        </w:rPr>
        <w:t>if the keys are exchanged remotely</w:t>
      </w:r>
      <w:r>
        <w:rPr>
          <w:bCs/>
        </w:rPr>
        <w:t>.”</w:t>
      </w:r>
    </w:p>
    <w:p w:rsidR="00FF3716" w:rsidRDefault="00FF3716" w:rsidP="00FF3716">
      <w:pPr>
        <w:pStyle w:val="TableText"/>
        <w:spacing w:before="0"/>
        <w:rPr>
          <w:bCs/>
        </w:rPr>
      </w:pPr>
    </w:p>
    <w:p w:rsidR="00FF3716" w:rsidRDefault="00FF3716" w:rsidP="00FF3716">
      <w:pPr>
        <w:pStyle w:val="TableText"/>
        <w:spacing w:before="0"/>
        <w:rPr>
          <w:bCs/>
        </w:rPr>
      </w:pPr>
      <w:r>
        <w:rPr>
          <w:bCs/>
        </w:rPr>
        <w:t xml:space="preserve">23.  In requirement R7-108.1, update the text, “NPAC SMS shall support the Service Providers’ acknowledgment via </w:t>
      </w:r>
      <w:r>
        <w:rPr>
          <w:bCs/>
          <w:strike/>
          <w:highlight w:val="yellow"/>
        </w:rPr>
        <w:t>2 secure electronic forms, E</w:t>
      </w:r>
      <w:r w:rsidRPr="004D627A">
        <w:rPr>
          <w:bCs/>
          <w:strike/>
          <w:highlight w:val="yellow"/>
        </w:rPr>
        <w:t>mail or</w:t>
      </w:r>
      <w:r>
        <w:rPr>
          <w:bCs/>
        </w:rPr>
        <w:t xml:space="preserve"> Secure FTP using encryption mechanisms.”</w:t>
      </w:r>
    </w:p>
    <w:p w:rsidR="00FF3716" w:rsidRDefault="00FF3716" w:rsidP="00FF3716">
      <w:pPr>
        <w:pStyle w:val="TableText"/>
        <w:spacing w:before="0"/>
        <w:rPr>
          <w:bCs/>
        </w:rPr>
      </w:pPr>
    </w:p>
    <w:p w:rsidR="00FF3716" w:rsidRDefault="00FF3716" w:rsidP="00FF3716">
      <w:pPr>
        <w:pStyle w:val="TableText"/>
        <w:spacing w:before="0"/>
        <w:rPr>
          <w:bCs/>
        </w:rPr>
      </w:pPr>
      <w:r>
        <w:rPr>
          <w:bCs/>
        </w:rPr>
        <w:t>24.  Remove obsolete requirement R7-109.1, Periodic Paper List of Public Keys NPAC Uses.</w:t>
      </w:r>
    </w:p>
    <w:p w:rsidR="00FF3716" w:rsidRDefault="00FF3716" w:rsidP="00FF3716">
      <w:pPr>
        <w:pStyle w:val="TableText"/>
        <w:spacing w:before="0"/>
        <w:rPr>
          <w:bCs/>
        </w:rPr>
      </w:pPr>
    </w:p>
    <w:p w:rsidR="00FF3716" w:rsidRDefault="00FF3716" w:rsidP="00FF3716">
      <w:pPr>
        <w:pStyle w:val="TableText"/>
        <w:spacing w:before="0"/>
        <w:rPr>
          <w:bCs/>
        </w:rPr>
      </w:pPr>
      <w:r>
        <w:rPr>
          <w:bCs/>
        </w:rPr>
        <w:t>25.  Remove obsolete requirement R7-109.2, Acknowledgment of Paper List of Public Keys.</w:t>
      </w:r>
    </w:p>
    <w:p w:rsidR="00FF3716" w:rsidRDefault="00FF3716" w:rsidP="00FF3716">
      <w:pPr>
        <w:pStyle w:val="TableText"/>
        <w:spacing w:before="0"/>
        <w:rPr>
          <w:bCs/>
        </w:rPr>
      </w:pPr>
    </w:p>
    <w:p w:rsidR="00FF3716" w:rsidRDefault="00FF3716" w:rsidP="00FF3716">
      <w:pPr>
        <w:pStyle w:val="TableText"/>
        <w:spacing w:before="0"/>
        <w:rPr>
          <w:bCs/>
        </w:rPr>
      </w:pPr>
      <w:r>
        <w:rPr>
          <w:bCs/>
        </w:rPr>
        <w:t>26.  In requirement R7-111.4, add note that the yearly change applies to the NPAC signing key.</w:t>
      </w:r>
    </w:p>
    <w:p w:rsidR="00FF3716" w:rsidRDefault="00FF3716" w:rsidP="00FF3716">
      <w:pPr>
        <w:pStyle w:val="TableText"/>
        <w:spacing w:before="0"/>
      </w:pPr>
    </w:p>
    <w:p w:rsidR="00FF3716" w:rsidRPr="000618FF" w:rsidRDefault="00FF3716" w:rsidP="00FF3716">
      <w:pPr>
        <w:pStyle w:val="TableText"/>
        <w:spacing w:before="0" w:after="0"/>
        <w:rPr>
          <w:bCs/>
          <w:u w:val="single"/>
        </w:rPr>
      </w:pPr>
      <w:proofErr w:type="gramStart"/>
      <w:r w:rsidRPr="000618FF">
        <w:rPr>
          <w:b/>
          <w:bCs/>
          <w:u w:val="single"/>
        </w:rPr>
        <w:t>added</w:t>
      </w:r>
      <w:proofErr w:type="gramEnd"/>
      <w:r w:rsidRPr="000618FF">
        <w:rPr>
          <w:b/>
          <w:bCs/>
          <w:u w:val="single"/>
        </w:rPr>
        <w:t xml:space="preserve"> in</w:t>
      </w:r>
      <w:r w:rsidRPr="000618FF">
        <w:rPr>
          <w:bCs/>
          <w:u w:val="single"/>
        </w:rPr>
        <w:t xml:space="preserve"> </w:t>
      </w:r>
      <w:r>
        <w:rPr>
          <w:b/>
          <w:bCs/>
          <w:u w:val="single"/>
        </w:rPr>
        <w:t xml:space="preserve">May </w:t>
      </w:r>
      <w:r w:rsidRPr="000618FF">
        <w:rPr>
          <w:b/>
          <w:bCs/>
          <w:u w:val="single"/>
        </w:rPr>
        <w:t>’</w:t>
      </w:r>
      <w:r>
        <w:rPr>
          <w:b/>
          <w:bCs/>
          <w:u w:val="single"/>
        </w:rPr>
        <w:t>1</w:t>
      </w:r>
      <w:r w:rsidRPr="000618FF">
        <w:rPr>
          <w:b/>
          <w:bCs/>
          <w:u w:val="single"/>
        </w:rPr>
        <w:t>0</w:t>
      </w:r>
    </w:p>
    <w:p w:rsidR="00FF3716" w:rsidRDefault="00FF3716" w:rsidP="00FF3716">
      <w:pPr>
        <w:pStyle w:val="TableText"/>
        <w:spacing w:before="0"/>
        <w:rPr>
          <w:bCs/>
        </w:rPr>
      </w:pPr>
      <w:r>
        <w:rPr>
          <w:bCs/>
        </w:rPr>
        <w:t>27.  In requirement R7-97, update the bulleted text to be consistent with the bullets in R7-96.</w:t>
      </w:r>
    </w:p>
    <w:p w:rsidR="00FF3716" w:rsidRPr="00A64462" w:rsidRDefault="00FF3716" w:rsidP="00FF3716">
      <w:pPr>
        <w:pStyle w:val="ListBullet1"/>
        <w:numPr>
          <w:ilvl w:val="0"/>
          <w:numId w:val="4"/>
        </w:numPr>
        <w:spacing w:after="0"/>
        <w:rPr>
          <w:strike/>
          <w:highlight w:val="yellow"/>
        </w:rPr>
      </w:pPr>
      <w:r w:rsidRPr="006972CB">
        <w:rPr>
          <w:strike/>
          <w:highlight w:val="yellow"/>
        </w:rPr>
        <w:t xml:space="preserve">The unique identity of the </w:t>
      </w:r>
      <w:proofErr w:type="spellStart"/>
      <w:r w:rsidRPr="006972CB">
        <w:rPr>
          <w:strike/>
          <w:highlight w:val="yellow"/>
        </w:rPr>
        <w:t>sender</w:t>
      </w:r>
      <w:r w:rsidRPr="006972CB">
        <w:rPr>
          <w:highlight w:val="yellow"/>
        </w:rPr>
        <w:t>System</w:t>
      </w:r>
      <w:proofErr w:type="spellEnd"/>
      <w:r w:rsidRPr="006972CB">
        <w:rPr>
          <w:highlight w:val="yellow"/>
        </w:rPr>
        <w:t xml:space="preserve"> ID</w:t>
      </w:r>
    </w:p>
    <w:p w:rsidR="00FF3716" w:rsidRPr="00A64462" w:rsidRDefault="00FF3716" w:rsidP="00FF3716">
      <w:pPr>
        <w:pStyle w:val="ListBullet1"/>
        <w:numPr>
          <w:ilvl w:val="0"/>
          <w:numId w:val="4"/>
        </w:numPr>
        <w:spacing w:after="0"/>
        <w:rPr>
          <w:highlight w:val="yellow"/>
        </w:rPr>
      </w:pPr>
      <w:r>
        <w:rPr>
          <w:highlight w:val="yellow"/>
        </w:rPr>
        <w:t>System t</w:t>
      </w:r>
      <w:r w:rsidRPr="006972CB">
        <w:rPr>
          <w:highlight w:val="yellow"/>
        </w:rPr>
        <w:t>ype</w:t>
      </w:r>
    </w:p>
    <w:p w:rsidR="00FF3716" w:rsidRPr="00A64462" w:rsidRDefault="00FF3716" w:rsidP="00FF3716">
      <w:pPr>
        <w:pStyle w:val="ListBullet1"/>
        <w:numPr>
          <w:ilvl w:val="0"/>
          <w:numId w:val="4"/>
        </w:numPr>
        <w:spacing w:after="0"/>
        <w:rPr>
          <w:highlight w:val="yellow"/>
        </w:rPr>
      </w:pPr>
      <w:r w:rsidRPr="006972CB">
        <w:rPr>
          <w:highlight w:val="yellow"/>
        </w:rPr>
        <w:t>User ID</w:t>
      </w:r>
    </w:p>
    <w:p w:rsidR="00FF3716" w:rsidRPr="00A64462" w:rsidRDefault="00FF3716" w:rsidP="00FF3716">
      <w:pPr>
        <w:pStyle w:val="ListBullet1"/>
        <w:numPr>
          <w:ilvl w:val="0"/>
          <w:numId w:val="4"/>
        </w:numPr>
        <w:spacing w:after="0"/>
        <w:rPr>
          <w:highlight w:val="yellow"/>
        </w:rPr>
      </w:pPr>
      <w:r w:rsidRPr="006972CB">
        <w:rPr>
          <w:strike/>
          <w:highlight w:val="yellow"/>
        </w:rPr>
        <w:t xml:space="preserve">The Generalized Time, corresponding to the issuance of the </w:t>
      </w:r>
      <w:proofErr w:type="spellStart"/>
      <w:r w:rsidRPr="006972CB">
        <w:rPr>
          <w:strike/>
          <w:highlight w:val="yellow"/>
        </w:rPr>
        <w:t>message</w:t>
      </w:r>
      <w:r w:rsidRPr="006972CB">
        <w:rPr>
          <w:highlight w:val="yellow"/>
        </w:rPr>
        <w:t>Departure</w:t>
      </w:r>
      <w:proofErr w:type="spellEnd"/>
      <w:r w:rsidRPr="006972CB">
        <w:rPr>
          <w:highlight w:val="yellow"/>
        </w:rPr>
        <w:t xml:space="preserve"> Time</w:t>
      </w:r>
    </w:p>
    <w:p w:rsidR="00FF3716" w:rsidRPr="007F0CBF" w:rsidRDefault="00FF3716" w:rsidP="00FF3716">
      <w:pPr>
        <w:pStyle w:val="ListBullet1"/>
        <w:numPr>
          <w:ilvl w:val="0"/>
          <w:numId w:val="4"/>
        </w:numPr>
        <w:spacing w:after="0"/>
        <w:rPr>
          <w:highlight w:val="yellow"/>
        </w:rPr>
      </w:pPr>
      <w:r w:rsidRPr="006972CB">
        <w:rPr>
          <w:strike/>
          <w:highlight w:val="yellow"/>
        </w:rPr>
        <w:t xml:space="preserve">A </w:t>
      </w:r>
      <w:r w:rsidRPr="006972CB">
        <w:rPr>
          <w:highlight w:val="yellow"/>
        </w:rPr>
        <w:t>sequence number</w:t>
      </w:r>
    </w:p>
    <w:p w:rsidR="00FF3716" w:rsidRPr="00A64462" w:rsidRDefault="00FF3716" w:rsidP="00FF3716">
      <w:pPr>
        <w:pStyle w:val="ListBullet1"/>
        <w:numPr>
          <w:ilvl w:val="0"/>
          <w:numId w:val="4"/>
        </w:numPr>
        <w:spacing w:after="0"/>
        <w:rPr>
          <w:highlight w:val="yellow"/>
        </w:rPr>
      </w:pPr>
      <w:r w:rsidRPr="006972CB">
        <w:rPr>
          <w:strike/>
          <w:highlight w:val="yellow"/>
        </w:rPr>
        <w:t xml:space="preserve">A key </w:t>
      </w:r>
      <w:proofErr w:type="spellStart"/>
      <w:r w:rsidRPr="006972CB">
        <w:rPr>
          <w:strike/>
          <w:highlight w:val="yellow"/>
        </w:rPr>
        <w:t>identifier</w:t>
      </w:r>
      <w:r w:rsidRPr="006972CB">
        <w:rPr>
          <w:highlight w:val="yellow"/>
        </w:rPr>
        <w:t>Key</w:t>
      </w:r>
      <w:proofErr w:type="spellEnd"/>
      <w:r w:rsidRPr="006972CB">
        <w:rPr>
          <w:highlight w:val="yellow"/>
        </w:rPr>
        <w:t xml:space="preserve"> ID</w:t>
      </w:r>
    </w:p>
    <w:p w:rsidR="00FF3716" w:rsidRPr="00A64462" w:rsidRDefault="00FF3716" w:rsidP="00FF3716">
      <w:pPr>
        <w:pStyle w:val="ListBullet1"/>
        <w:numPr>
          <w:ilvl w:val="0"/>
          <w:numId w:val="4"/>
        </w:numPr>
        <w:spacing w:after="0"/>
      </w:pPr>
      <w:r>
        <w:t>Key list ID</w:t>
      </w:r>
    </w:p>
    <w:p w:rsidR="00FF3716" w:rsidRPr="007F0CBF" w:rsidRDefault="00FF3716" w:rsidP="00FF3716">
      <w:pPr>
        <w:pStyle w:val="ListBullet1"/>
        <w:numPr>
          <w:ilvl w:val="0"/>
          <w:numId w:val="4"/>
        </w:numPr>
        <w:spacing w:after="0"/>
        <w:rPr>
          <w:strike/>
          <w:highlight w:val="yellow"/>
        </w:rPr>
      </w:pPr>
      <w:r w:rsidRPr="006972CB">
        <w:rPr>
          <w:strike/>
          <w:highlight w:val="yellow"/>
        </w:rPr>
        <w:t xml:space="preserve">The digital signature of the sender’s identity, Generalized Time and sequence number listed </w:t>
      </w:r>
      <w:proofErr w:type="spellStart"/>
      <w:r w:rsidRPr="006972CB">
        <w:rPr>
          <w:strike/>
          <w:highlight w:val="yellow"/>
        </w:rPr>
        <w:t>above</w:t>
      </w:r>
      <w:r w:rsidRPr="006972CB">
        <w:rPr>
          <w:highlight w:val="yellow"/>
        </w:rPr>
        <w:t>Digital</w:t>
      </w:r>
      <w:proofErr w:type="spellEnd"/>
      <w:r w:rsidRPr="006972CB">
        <w:rPr>
          <w:highlight w:val="yellow"/>
        </w:rPr>
        <w:t xml:space="preserve"> Signature</w:t>
      </w:r>
    </w:p>
    <w:p w:rsidR="00FF3716" w:rsidRDefault="00FF3716" w:rsidP="00FF3716">
      <w:pPr>
        <w:pStyle w:val="TableText"/>
        <w:spacing w:before="0"/>
        <w:rPr>
          <w:bCs/>
        </w:rPr>
      </w:pPr>
    </w:p>
    <w:p w:rsidR="00FF3716" w:rsidRDefault="00FF3716" w:rsidP="00FF3716">
      <w:pPr>
        <w:pStyle w:val="TableText"/>
        <w:spacing w:before="0"/>
        <w:rPr>
          <w:bCs/>
        </w:rPr>
      </w:pPr>
      <w:r>
        <w:rPr>
          <w:bCs/>
        </w:rPr>
        <w:t>28</w:t>
      </w:r>
      <w:r w:rsidRPr="00A315F2">
        <w:rPr>
          <w:bCs/>
        </w:rPr>
        <w:t xml:space="preserve">.  </w:t>
      </w:r>
      <w:r>
        <w:rPr>
          <w:bCs/>
        </w:rPr>
        <w:t>Remove obsolete requirement RR7-2, Modifying User Name.</w:t>
      </w:r>
    </w:p>
    <w:p w:rsidR="00FF3716" w:rsidRDefault="00FF3716" w:rsidP="00FF3716">
      <w:pPr>
        <w:pStyle w:val="TableText"/>
        <w:spacing w:before="0"/>
        <w:rPr>
          <w:bCs/>
        </w:rPr>
      </w:pPr>
    </w:p>
    <w:p w:rsidR="00FF3716" w:rsidRDefault="00FF3716" w:rsidP="00FF3716">
      <w:pPr>
        <w:pStyle w:val="TableText"/>
        <w:spacing w:before="0"/>
        <w:rPr>
          <w:bCs/>
        </w:rPr>
      </w:pPr>
      <w:r>
        <w:rPr>
          <w:bCs/>
        </w:rPr>
        <w:t>29</w:t>
      </w:r>
      <w:r w:rsidRPr="00A315F2">
        <w:rPr>
          <w:bCs/>
        </w:rPr>
        <w:t xml:space="preserve">.  </w:t>
      </w:r>
      <w:r>
        <w:rPr>
          <w:bCs/>
        </w:rPr>
        <w:t>Update Subscription BDD File field numbers in Appendix E.</w:t>
      </w:r>
    </w:p>
    <w:p w:rsidR="00FF3716" w:rsidRDefault="00FF3716" w:rsidP="00FF3716">
      <w:pPr>
        <w:pStyle w:val="TableText"/>
        <w:spacing w:before="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Jun ’10</w:t>
      </w:r>
    </w:p>
    <w:p w:rsidR="00FF3716" w:rsidRDefault="00FF3716" w:rsidP="00FF3716">
      <w:pPr>
        <w:pStyle w:val="TableText"/>
        <w:spacing w:before="0"/>
        <w:rPr>
          <w:bCs/>
        </w:rPr>
      </w:pPr>
      <w:r>
        <w:rPr>
          <w:bCs/>
        </w:rPr>
        <w:t>30.  In BDD Response File requirements RR3-327, RR3-328, and RR3-330, update the note to explicitly define a “negative” response.</w:t>
      </w:r>
    </w:p>
    <w:p w:rsidR="00FF3716" w:rsidRDefault="00FF3716" w:rsidP="00FF3716">
      <w:pPr>
        <w:pStyle w:val="TableText"/>
        <w:spacing w:before="0"/>
        <w:rPr>
          <w:bCs/>
        </w:rPr>
      </w:pPr>
    </w:p>
    <w:p w:rsidR="00FF3716" w:rsidRDefault="00FF3716" w:rsidP="00FF3716">
      <w:pPr>
        <w:pStyle w:val="TableText"/>
        <w:spacing w:before="0"/>
        <w:rPr>
          <w:bCs/>
        </w:rPr>
      </w:pPr>
      <w:r>
        <w:rPr>
          <w:bCs/>
        </w:rPr>
        <w:t>31</w:t>
      </w:r>
      <w:r w:rsidRPr="00A315F2">
        <w:rPr>
          <w:bCs/>
        </w:rPr>
        <w:t xml:space="preserve">.  </w:t>
      </w:r>
      <w:r>
        <w:rPr>
          <w:bCs/>
        </w:rPr>
        <w:t>Re-organize BDD File overview text in Appendix E.</w:t>
      </w:r>
    </w:p>
    <w:p w:rsidR="00FF3716" w:rsidRDefault="00FF3716" w:rsidP="00FF3716">
      <w:pPr>
        <w:pStyle w:val="TableText"/>
        <w:spacing w:before="0"/>
        <w:rPr>
          <w:bCs/>
        </w:rPr>
      </w:pPr>
    </w:p>
    <w:p w:rsidR="00FF3716" w:rsidRDefault="00FF3716" w:rsidP="00FF3716">
      <w:pPr>
        <w:pStyle w:val="TableText"/>
        <w:spacing w:before="0"/>
        <w:rPr>
          <w:bCs/>
        </w:rPr>
      </w:pPr>
      <w:r>
        <w:rPr>
          <w:bCs/>
        </w:rPr>
        <w:t xml:space="preserve">32.  Add Download Reason to Data Model section (SV, NPA-NXX, </w:t>
      </w:r>
      <w:proofErr w:type="gramStart"/>
      <w:r>
        <w:rPr>
          <w:bCs/>
        </w:rPr>
        <w:t>LRN</w:t>
      </w:r>
      <w:proofErr w:type="gramEnd"/>
      <w:r>
        <w:rPr>
          <w:bCs/>
        </w:rPr>
        <w:t>).</w:t>
      </w:r>
    </w:p>
    <w:p w:rsidR="00FF3716" w:rsidRDefault="00FF3716" w:rsidP="00FF3716">
      <w:pPr>
        <w:pStyle w:val="TableText"/>
        <w:spacing w:before="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Jul ’10</w:t>
      </w:r>
    </w:p>
    <w:p w:rsidR="00FF3716" w:rsidRDefault="00FF3716" w:rsidP="00FF3716">
      <w:pPr>
        <w:pStyle w:val="TableText"/>
        <w:spacing w:before="0"/>
        <w:rPr>
          <w:bCs/>
        </w:rPr>
      </w:pPr>
      <w:r>
        <w:rPr>
          <w:bCs/>
        </w:rPr>
        <w:t>33.  Based on action item 060810-06 and discussion during the July meeting, pending-like PTO SVs should be added to the list of pending-like SVs that need to be cancelled prior to a SPID Migration.  Update requirements RR3-259 and RR3-275.</w:t>
      </w:r>
    </w:p>
    <w:p w:rsidR="00FF3716" w:rsidRDefault="00FF3716" w:rsidP="00FF3716">
      <w:pPr>
        <w:pStyle w:val="TableText"/>
        <w:spacing w:before="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Oct ’10</w:t>
      </w:r>
    </w:p>
    <w:p w:rsidR="00FF3716" w:rsidRDefault="00FF3716" w:rsidP="00FF3716">
      <w:pPr>
        <w:pStyle w:val="TableText"/>
        <w:spacing w:before="0"/>
        <w:rPr>
          <w:bCs/>
        </w:rPr>
      </w:pPr>
      <w:r>
        <w:rPr>
          <w:bCs/>
        </w:rPr>
        <w:t>34.  NPA-NXX Filter clarification.  Since NPA-NXX Filters apply at the SPID level, text should indicate both SOA and LSMS (currently only indicates LSMS even though requirements also say “via the NPAC SMS to Local SMS interface and the SOA to NPAC SMS interface”).  Update requirements RR3-5, RR3-6,</w:t>
      </w:r>
      <w:r w:rsidRPr="00E510FC">
        <w:rPr>
          <w:bCs/>
        </w:rPr>
        <w:t xml:space="preserve"> </w:t>
      </w:r>
      <w:r>
        <w:rPr>
          <w:bCs/>
        </w:rPr>
        <w:t>RR3-7, RR3-8, RR3-9, RR3-692, RR3-693,</w:t>
      </w:r>
      <w:r w:rsidRPr="00E510FC">
        <w:rPr>
          <w:bCs/>
        </w:rPr>
        <w:t xml:space="preserve"> </w:t>
      </w:r>
      <w:r>
        <w:rPr>
          <w:bCs/>
        </w:rPr>
        <w:t xml:space="preserve">RR3-694, </w:t>
      </w:r>
      <w:proofErr w:type="gramStart"/>
      <w:r>
        <w:rPr>
          <w:bCs/>
        </w:rPr>
        <w:t>RR3</w:t>
      </w:r>
      <w:proofErr w:type="gramEnd"/>
      <w:r>
        <w:rPr>
          <w:bCs/>
        </w:rPr>
        <w:t>-696.</w:t>
      </w:r>
    </w:p>
    <w:p w:rsidR="00FF3716" w:rsidRDefault="00FF3716" w:rsidP="00FF3716">
      <w:pPr>
        <w:pStyle w:val="TableText"/>
        <w:spacing w:before="0" w:after="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Dec ’10</w:t>
      </w:r>
    </w:p>
    <w:p w:rsidR="00FF3716" w:rsidRDefault="00FF3716" w:rsidP="00FF3716">
      <w:pPr>
        <w:pStyle w:val="TableText"/>
        <w:spacing w:before="0"/>
        <w:rPr>
          <w:bCs/>
        </w:rPr>
      </w:pPr>
      <w:r>
        <w:rPr>
          <w:bCs/>
        </w:rPr>
        <w:t xml:space="preserve">35.  Appendix E, BDD Files.  Block Download </w:t>
      </w:r>
      <w:proofErr w:type="gramStart"/>
      <w:r>
        <w:rPr>
          <w:bCs/>
        </w:rPr>
        <w:t>File,</w:t>
      </w:r>
      <w:proofErr w:type="gramEnd"/>
      <w:r>
        <w:rPr>
          <w:bCs/>
        </w:rPr>
        <w:t xml:space="preserve"> clearly indicate that </w:t>
      </w:r>
      <w:proofErr w:type="spellStart"/>
      <w:r>
        <w:rPr>
          <w:bCs/>
        </w:rPr>
        <w:t>tunables</w:t>
      </w:r>
      <w:proofErr w:type="spellEnd"/>
      <w:r>
        <w:rPr>
          <w:bCs/>
        </w:rPr>
        <w:t xml:space="preserve"> “SOA supports WSMSC” and “LSMS supports WSMSC” will always be included in the Block BDD File.  Notification Download File, </w:t>
      </w:r>
      <w:proofErr w:type="gramStart"/>
      <w:r>
        <w:rPr>
          <w:bCs/>
        </w:rPr>
        <w:t>consolidate</w:t>
      </w:r>
      <w:proofErr w:type="gramEnd"/>
      <w:r>
        <w:rPr>
          <w:bCs/>
        </w:rPr>
        <w:t xml:space="preserve"> paragraphs on attributes included in file, and clarify that inclusion is based on support at time of BDD file generation.</w:t>
      </w:r>
    </w:p>
    <w:p w:rsidR="00FF3716" w:rsidRDefault="00FF3716" w:rsidP="00FF3716">
      <w:pPr>
        <w:pStyle w:val="TableText"/>
        <w:spacing w:before="0" w:after="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Feb ’11</w:t>
      </w:r>
    </w:p>
    <w:p w:rsidR="00FF3716" w:rsidRDefault="00FF3716" w:rsidP="00FF3716">
      <w:pPr>
        <w:pStyle w:val="TableText"/>
        <w:spacing w:before="0"/>
        <w:rPr>
          <w:bCs/>
        </w:rPr>
      </w:pPr>
      <w:r>
        <w:rPr>
          <w:bCs/>
        </w:rPr>
        <w:t>36.  NPAC Customer Data Model.  Remove the row labeled “Service Provider LSMS Supports Cancel-Pending to Conflict Cause Code” as this is not a valid profile setting.</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 xml:space="preserve">37.  </w:t>
      </w:r>
      <w:proofErr w:type="gramStart"/>
      <w:r>
        <w:rPr>
          <w:bCs/>
        </w:rPr>
        <w:t>In</w:t>
      </w:r>
      <w:proofErr w:type="gramEnd"/>
      <w:r>
        <w:rPr>
          <w:bCs/>
        </w:rPr>
        <w:t xml:space="preserve"> requirement RR3-259, wording clarification on ‘pending-like’ Blocks, and separation of SVs versus Blocks.</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 xml:space="preserve">38.  Block BDD File.  Add the missing URI fields, Voice URI, MMS URI, </w:t>
      </w:r>
      <w:proofErr w:type="gramStart"/>
      <w:r>
        <w:rPr>
          <w:bCs/>
        </w:rPr>
        <w:t>SMS</w:t>
      </w:r>
      <w:proofErr w:type="gramEnd"/>
      <w:r>
        <w:rPr>
          <w:bCs/>
        </w:rPr>
        <w:t xml:space="preserve"> URI.  The placement is the same as the SV BDD File (i.e., in between Alt-Billing ID and Last Alternative SPID).</w:t>
      </w:r>
    </w:p>
    <w:p w:rsidR="00FF3716" w:rsidRDefault="00FF3716" w:rsidP="00FF3716">
      <w:pPr>
        <w:pStyle w:val="TableText"/>
        <w:spacing w:before="0" w:after="0"/>
        <w:rPr>
          <w:bCs/>
        </w:rPr>
      </w:pPr>
    </w:p>
    <w:p w:rsidR="00FF3716" w:rsidRDefault="00FF3716" w:rsidP="00FF3716">
      <w:pPr>
        <w:pStyle w:val="TableText"/>
        <w:spacing w:before="0"/>
        <w:rPr>
          <w:bCs/>
        </w:rPr>
      </w:pPr>
      <w:r>
        <w:rPr>
          <w:bCs/>
        </w:rPr>
        <w:t xml:space="preserve">39.  Notification BDD.  </w:t>
      </w:r>
      <w:proofErr w:type="gramStart"/>
      <w:r>
        <w:rPr>
          <w:bCs/>
        </w:rPr>
        <w:t>Timer Type, Business Hours, and Medium Timer Indicators wording clarifications.</w:t>
      </w:r>
      <w:proofErr w:type="gramEnd"/>
      <w:r>
        <w:rPr>
          <w:bCs/>
        </w:rPr>
        <w:t xml:space="preserve">  Add missing Billing ID and End User fields, and renumber fields.</w:t>
      </w:r>
    </w:p>
    <w:p w:rsidR="00FF3716" w:rsidRDefault="00FF3716" w:rsidP="00FF3716">
      <w:pPr>
        <w:pStyle w:val="TableText"/>
        <w:spacing w:before="0" w:after="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Apr ’11</w:t>
      </w:r>
    </w:p>
    <w:p w:rsidR="00FF3716" w:rsidRDefault="00FF3716" w:rsidP="00FF3716">
      <w:pPr>
        <w:pStyle w:val="TableText"/>
        <w:spacing w:before="0"/>
        <w:rPr>
          <w:bCs/>
        </w:rPr>
      </w:pPr>
      <w:r>
        <w:rPr>
          <w:bCs/>
        </w:rPr>
        <w:t>40.  Wireless timers.  In Section 1.2.15, Time References in the NPAC SMS, correct the day references for Canada.  Instead of Sunday-Saturday, should be Monday-Saturday.</w:t>
      </w:r>
    </w:p>
    <w:p w:rsidR="00FF3716" w:rsidRDefault="00FF3716" w:rsidP="00FF3716">
      <w:pPr>
        <w:pStyle w:val="TableText"/>
        <w:spacing w:before="0" w:after="0"/>
        <w:rPr>
          <w:bCs/>
        </w:rPr>
      </w:pPr>
    </w:p>
    <w:p w:rsidR="00FF3716" w:rsidRPr="005D3BDE" w:rsidRDefault="00FF3716" w:rsidP="00FF3716">
      <w:pPr>
        <w:pStyle w:val="TableText"/>
        <w:spacing w:before="0" w:after="0"/>
        <w:rPr>
          <w:b/>
          <w:bCs/>
          <w:u w:val="single"/>
        </w:rPr>
      </w:pPr>
      <w:proofErr w:type="gramStart"/>
      <w:r>
        <w:rPr>
          <w:b/>
          <w:bCs/>
          <w:u w:val="single"/>
        </w:rPr>
        <w:t>added</w:t>
      </w:r>
      <w:proofErr w:type="gramEnd"/>
      <w:r>
        <w:rPr>
          <w:b/>
          <w:bCs/>
          <w:u w:val="single"/>
        </w:rPr>
        <w:t xml:space="preserve"> in May ’11</w:t>
      </w:r>
    </w:p>
    <w:p w:rsidR="00FF3716" w:rsidRDefault="00FF3716" w:rsidP="00FF3716">
      <w:pPr>
        <w:pStyle w:val="TableText"/>
        <w:spacing w:before="0"/>
        <w:rPr>
          <w:bCs/>
        </w:rPr>
      </w:pPr>
      <w:r>
        <w:rPr>
          <w:bCs/>
        </w:rPr>
        <w:t xml:space="preserve">41.  Appendix C, System </w:t>
      </w:r>
      <w:proofErr w:type="spellStart"/>
      <w:r>
        <w:rPr>
          <w:bCs/>
        </w:rPr>
        <w:t>Tunables</w:t>
      </w:r>
      <w:proofErr w:type="spellEnd"/>
      <w:r>
        <w:rPr>
          <w:bCs/>
        </w:rPr>
        <w:t xml:space="preserve">.  </w:t>
      </w:r>
      <w:proofErr w:type="gramStart"/>
      <w:r>
        <w:rPr>
          <w:bCs/>
        </w:rPr>
        <w:t>Correction to range of “Maximum Subscription Query” tunable.</w:t>
      </w:r>
      <w:proofErr w:type="gramEnd"/>
      <w:r>
        <w:rPr>
          <w:bCs/>
        </w:rPr>
        <w:t xml:space="preserve">  Production setting is 1000.</w:t>
      </w:r>
    </w:p>
    <w:p w:rsidR="00FF3716" w:rsidRDefault="00FF3716" w:rsidP="00FF3716">
      <w:pPr>
        <w:pStyle w:val="TableText"/>
        <w:spacing w:before="0"/>
        <w:rPr>
          <w:bCs/>
        </w:rPr>
      </w:pPr>
    </w:p>
    <w:p w:rsidR="00FF3716" w:rsidRDefault="00FF3716" w:rsidP="00FF3716">
      <w:pPr>
        <w:pStyle w:val="TableText"/>
        <w:spacing w:before="0"/>
        <w:rPr>
          <w:bCs/>
        </w:rPr>
      </w:pPr>
      <w:r>
        <w:rPr>
          <w:bCs/>
        </w:rPr>
        <w:t>42.  In requirement RR5-25.2, note clarification on ERD value (Note:  If the Effective Release Date is not specified in the Disconnect Request from the current Service Provider, the Effective Release Date will be populated with the same value as the Customer Disconnect Date.).</w:t>
      </w:r>
    </w:p>
    <w:p w:rsidR="00FF3716" w:rsidRDefault="00FF3716" w:rsidP="00FF3716">
      <w:pPr>
        <w:pStyle w:val="TableText"/>
        <w:spacing w:before="0"/>
        <w:rPr>
          <w:bCs/>
        </w:rPr>
      </w:pPr>
    </w:p>
    <w:p w:rsidR="00FF3716" w:rsidRDefault="00FF3716" w:rsidP="00FF3716">
      <w:pPr>
        <w:pStyle w:val="TableText"/>
        <w:spacing w:before="0"/>
        <w:rPr>
          <w:bCs/>
        </w:rPr>
      </w:pPr>
      <w:r>
        <w:rPr>
          <w:bCs/>
        </w:rPr>
        <w:t>43.  Correction to #37 above, this new bullet point should be removed from RR3-259.</w:t>
      </w:r>
    </w:p>
    <w:p w:rsidR="00FF3716" w:rsidRDefault="00FF3716" w:rsidP="00FF3716">
      <w:pPr>
        <w:pStyle w:val="TableText"/>
        <w:spacing w:before="0" w:after="0"/>
        <w:rPr>
          <w:bCs/>
        </w:rPr>
      </w:pPr>
    </w:p>
    <w:p w:rsidR="00FF3716" w:rsidRDefault="00FF3716" w:rsidP="00FF3716">
      <w:pPr>
        <w:pStyle w:val="RequirementHead"/>
      </w:pPr>
      <w:r>
        <w:t>IIS:</w:t>
      </w:r>
    </w:p>
    <w:p w:rsidR="00FF3716" w:rsidRDefault="00FF3716" w:rsidP="00FF3716">
      <w:pPr>
        <w:pStyle w:val="RequirementBody"/>
      </w:pPr>
      <w:r>
        <w:t>No change required.</w:t>
      </w:r>
    </w:p>
    <w:p w:rsidR="00FF3716" w:rsidRDefault="00FF3716" w:rsidP="00FF3716">
      <w:pPr>
        <w:pStyle w:val="TableText"/>
        <w:spacing w:before="0"/>
      </w:pPr>
    </w:p>
    <w:p w:rsidR="00FF3716" w:rsidRDefault="00FF3716" w:rsidP="00FF3716">
      <w:pPr>
        <w:pStyle w:val="RequirementHead"/>
      </w:pPr>
      <w:r>
        <w:t>GDMO:</w:t>
      </w:r>
    </w:p>
    <w:p w:rsidR="00FF3716" w:rsidRDefault="00FF3716" w:rsidP="00FF3716">
      <w:pPr>
        <w:pStyle w:val="RequirementBody"/>
      </w:pPr>
      <w:r>
        <w:t>No change required.</w:t>
      </w:r>
    </w:p>
    <w:p w:rsidR="00FF3716" w:rsidRDefault="00FF3716" w:rsidP="00FF3716">
      <w:pPr>
        <w:pStyle w:val="TableText"/>
        <w:spacing w:before="0"/>
      </w:pPr>
    </w:p>
    <w:p w:rsidR="00FF3716" w:rsidRDefault="00FF3716" w:rsidP="00FF3716">
      <w:pPr>
        <w:pStyle w:val="RequirementHead"/>
      </w:pPr>
      <w:r>
        <w:t>ASN.1:</w:t>
      </w:r>
    </w:p>
    <w:p w:rsidR="00FF3716" w:rsidRDefault="00FF3716" w:rsidP="00FF3716">
      <w:pPr>
        <w:pStyle w:val="RequirementBody"/>
      </w:pPr>
      <w:r>
        <w:t>No change required.</w:t>
      </w:r>
    </w:p>
    <w:p w:rsidR="00A21911" w:rsidRDefault="00A21911"/>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197F5078"/>
    <w:multiLevelType w:val="hybridMultilevel"/>
    <w:tmpl w:val="9D7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F3716"/>
    <w:rsid w:val="000071C0"/>
    <w:rsid w:val="00047CF6"/>
    <w:rsid w:val="00083A07"/>
    <w:rsid w:val="00091621"/>
    <w:rsid w:val="000A2302"/>
    <w:rsid w:val="000C1C31"/>
    <w:rsid w:val="000E0011"/>
    <w:rsid w:val="000F4FB8"/>
    <w:rsid w:val="001034D3"/>
    <w:rsid w:val="00105C6F"/>
    <w:rsid w:val="001145E6"/>
    <w:rsid w:val="00134DC6"/>
    <w:rsid w:val="0014172F"/>
    <w:rsid w:val="00145ED0"/>
    <w:rsid w:val="00152BBF"/>
    <w:rsid w:val="00163618"/>
    <w:rsid w:val="001A52C8"/>
    <w:rsid w:val="001B1C4A"/>
    <w:rsid w:val="001C7AA6"/>
    <w:rsid w:val="002013D3"/>
    <w:rsid w:val="00211BCF"/>
    <w:rsid w:val="002225FD"/>
    <w:rsid w:val="002253A5"/>
    <w:rsid w:val="002363FC"/>
    <w:rsid w:val="002376D0"/>
    <w:rsid w:val="00270CDA"/>
    <w:rsid w:val="00295A8E"/>
    <w:rsid w:val="002A7C4D"/>
    <w:rsid w:val="002E67F9"/>
    <w:rsid w:val="0031169E"/>
    <w:rsid w:val="00337F38"/>
    <w:rsid w:val="003465BE"/>
    <w:rsid w:val="00381A59"/>
    <w:rsid w:val="003B065B"/>
    <w:rsid w:val="003C2A67"/>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84E4E"/>
    <w:rsid w:val="00586090"/>
    <w:rsid w:val="005A36A1"/>
    <w:rsid w:val="005D5171"/>
    <w:rsid w:val="005E068E"/>
    <w:rsid w:val="0060741C"/>
    <w:rsid w:val="00614608"/>
    <w:rsid w:val="0066631A"/>
    <w:rsid w:val="006679FD"/>
    <w:rsid w:val="006A117D"/>
    <w:rsid w:val="006B7841"/>
    <w:rsid w:val="006C7D9B"/>
    <w:rsid w:val="006D2AB0"/>
    <w:rsid w:val="006D7FF8"/>
    <w:rsid w:val="006E3AC3"/>
    <w:rsid w:val="00716DB8"/>
    <w:rsid w:val="00762EF0"/>
    <w:rsid w:val="00765AF5"/>
    <w:rsid w:val="00782AE7"/>
    <w:rsid w:val="00783D35"/>
    <w:rsid w:val="007C1CA0"/>
    <w:rsid w:val="007C7952"/>
    <w:rsid w:val="007D4FF0"/>
    <w:rsid w:val="0081160B"/>
    <w:rsid w:val="008162A4"/>
    <w:rsid w:val="00821F21"/>
    <w:rsid w:val="00845853"/>
    <w:rsid w:val="00852133"/>
    <w:rsid w:val="00870990"/>
    <w:rsid w:val="0088290C"/>
    <w:rsid w:val="0088479D"/>
    <w:rsid w:val="008855C2"/>
    <w:rsid w:val="00893BA0"/>
    <w:rsid w:val="008A3E45"/>
    <w:rsid w:val="008B1A8D"/>
    <w:rsid w:val="008C1B97"/>
    <w:rsid w:val="008D23D9"/>
    <w:rsid w:val="00903E51"/>
    <w:rsid w:val="00996B31"/>
    <w:rsid w:val="009A6663"/>
    <w:rsid w:val="009F3B6F"/>
    <w:rsid w:val="00A2029E"/>
    <w:rsid w:val="00A21911"/>
    <w:rsid w:val="00A43781"/>
    <w:rsid w:val="00A437C2"/>
    <w:rsid w:val="00A53B56"/>
    <w:rsid w:val="00A75696"/>
    <w:rsid w:val="00AD3F6B"/>
    <w:rsid w:val="00AF6F13"/>
    <w:rsid w:val="00B22E23"/>
    <w:rsid w:val="00B55BAC"/>
    <w:rsid w:val="00B610F2"/>
    <w:rsid w:val="00B67DFE"/>
    <w:rsid w:val="00B71884"/>
    <w:rsid w:val="00B80D93"/>
    <w:rsid w:val="00BA4966"/>
    <w:rsid w:val="00BA791E"/>
    <w:rsid w:val="00BF5CCD"/>
    <w:rsid w:val="00BF6698"/>
    <w:rsid w:val="00C0073F"/>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3174D"/>
    <w:rsid w:val="00E74B74"/>
    <w:rsid w:val="00E92084"/>
    <w:rsid w:val="00E97AB3"/>
    <w:rsid w:val="00EA2F7E"/>
    <w:rsid w:val="00EE5EBA"/>
    <w:rsid w:val="00EF59E3"/>
    <w:rsid w:val="00F34821"/>
    <w:rsid w:val="00F5091D"/>
    <w:rsid w:val="00F72BB3"/>
    <w:rsid w:val="00F91A14"/>
    <w:rsid w:val="00FA7D44"/>
    <w:rsid w:val="00FC2820"/>
    <w:rsid w:val="00FD5704"/>
    <w:rsid w:val="00FD5B75"/>
    <w:rsid w:val="00FD7DF4"/>
    <w:rsid w:val="00FF3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16"/>
    <w:pPr>
      <w:spacing w:after="12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F3716"/>
    <w:pPr>
      <w:keepNext/>
      <w:tabs>
        <w:tab w:val="left" w:pos="468"/>
      </w:tabs>
      <w:outlineLvl w:val="2"/>
    </w:pPr>
    <w:rPr>
      <w:b/>
    </w:rPr>
  </w:style>
  <w:style w:type="paragraph" w:styleId="Heading5">
    <w:name w:val="heading 5"/>
    <w:basedOn w:val="Normal"/>
    <w:next w:val="Normal"/>
    <w:link w:val="Heading5Char"/>
    <w:qFormat/>
    <w:rsid w:val="00FF3716"/>
    <w:pPr>
      <w:keepNext/>
      <w:numPr>
        <w:ilvl w:val="12"/>
      </w:numPr>
      <w:outlineLvl w:val="4"/>
    </w:pPr>
    <w:rPr>
      <w:rFonts w:ascii="Arial" w:hAnsi="Arial"/>
      <w:sz w:val="22"/>
      <w:u w:val="single"/>
    </w:rPr>
  </w:style>
  <w:style w:type="paragraph" w:styleId="Heading8">
    <w:name w:val="heading 8"/>
    <w:basedOn w:val="Normal"/>
    <w:next w:val="Normal"/>
    <w:link w:val="Heading8Char"/>
    <w:qFormat/>
    <w:rsid w:val="00FF3716"/>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371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F3716"/>
    <w:rPr>
      <w:rFonts w:ascii="Arial" w:eastAsia="Times New Roman" w:hAnsi="Arial" w:cs="Times New Roman"/>
      <w:szCs w:val="20"/>
      <w:u w:val="single"/>
    </w:rPr>
  </w:style>
  <w:style w:type="character" w:customStyle="1" w:styleId="Heading8Char">
    <w:name w:val="Heading 8 Char"/>
    <w:basedOn w:val="DefaultParagraphFont"/>
    <w:link w:val="Heading8"/>
    <w:rsid w:val="00FF3716"/>
    <w:rPr>
      <w:rFonts w:ascii="Times New Roman" w:eastAsia="Times New Roman" w:hAnsi="Times New Roman" w:cs="Times New Roman"/>
      <w:b/>
      <w:sz w:val="24"/>
      <w:szCs w:val="20"/>
    </w:rPr>
  </w:style>
  <w:style w:type="paragraph" w:styleId="BodyText">
    <w:name w:val="Body Text"/>
    <w:basedOn w:val="Normal"/>
    <w:link w:val="BodyTextChar"/>
    <w:rsid w:val="00FF3716"/>
    <w:pPr>
      <w:ind w:left="720"/>
    </w:pPr>
    <w:rPr>
      <w:rFonts w:ascii="Arial" w:hAnsi="Arial"/>
      <w:sz w:val="22"/>
    </w:rPr>
  </w:style>
  <w:style w:type="character" w:customStyle="1" w:styleId="BodyTextChar">
    <w:name w:val="Body Text Char"/>
    <w:basedOn w:val="DefaultParagraphFont"/>
    <w:link w:val="BodyText"/>
    <w:rsid w:val="00FF3716"/>
    <w:rPr>
      <w:rFonts w:ascii="Arial" w:eastAsia="Times New Roman" w:hAnsi="Arial" w:cs="Times New Roman"/>
      <w:szCs w:val="20"/>
    </w:rPr>
  </w:style>
  <w:style w:type="paragraph" w:customStyle="1" w:styleId="TableText">
    <w:name w:val="Table Text"/>
    <w:basedOn w:val="Normal"/>
    <w:rsid w:val="00FF3716"/>
    <w:pPr>
      <w:spacing w:before="120"/>
    </w:pPr>
  </w:style>
  <w:style w:type="paragraph" w:customStyle="1" w:styleId="RequirementHead">
    <w:name w:val="Requirement Head"/>
    <w:basedOn w:val="Normal"/>
    <w:autoRedefine/>
    <w:rsid w:val="00FF3716"/>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FF3716"/>
    <w:pPr>
      <w:keepLines/>
      <w:spacing w:after="360"/>
    </w:pPr>
    <w:rPr>
      <w:lang w:val="en-GB"/>
    </w:rPr>
  </w:style>
  <w:style w:type="paragraph" w:customStyle="1" w:styleId="ListBullet1">
    <w:name w:val="List Bullet 1"/>
    <w:basedOn w:val="Normal"/>
    <w:rsid w:val="00FF3716"/>
    <w:pPr>
      <w:ind w:left="360" w:hanging="360"/>
    </w:pPr>
  </w:style>
  <w:style w:type="paragraph" w:styleId="ListBullet2">
    <w:name w:val="List Bullet 2"/>
    <w:basedOn w:val="Normal"/>
    <w:autoRedefine/>
    <w:rsid w:val="00FF3716"/>
    <w:pPr>
      <w:numPr>
        <w:numId w:val="1"/>
      </w:numPr>
    </w:pPr>
    <w:rPr>
      <w:bCs/>
      <w:snapToGrid w:val="0"/>
    </w:rPr>
  </w:style>
  <w:style w:type="paragraph" w:customStyle="1" w:styleId="listbullet10">
    <w:name w:val="listbullet1"/>
    <w:basedOn w:val="Normal"/>
    <w:rsid w:val="00FF371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1758</Words>
  <Characters>10022</Characters>
  <Application>Microsoft Office Word</Application>
  <DocSecurity>0</DocSecurity>
  <Lines>83</Lines>
  <Paragraphs>23</Paragraphs>
  <ScaleCrop>false</ScaleCrop>
  <Company>NeuStar Inc.</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2011-09-09T17:30:00Z</dcterms:created>
  <dcterms:modified xsi:type="dcterms:W3CDTF">2011-09-09T17:30:00Z</dcterms:modified>
</cp:coreProperties>
</file>